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D4344" w14:textId="467ABD0A" w:rsidR="00064E79" w:rsidRPr="00FC5BD1" w:rsidRDefault="0095245A" w:rsidP="00420E32">
      <w:pPr>
        <w:spacing w:after="240"/>
        <w:rPr>
          <w:rFonts w:eastAsia="Times New Roman" w:cstheme="minorHAnsi"/>
          <w:b/>
          <w:bCs/>
          <w:color w:val="202124"/>
          <w:sz w:val="36"/>
          <w:szCs w:val="36"/>
          <w:lang w:eastAsia="es-MX"/>
        </w:rPr>
      </w:pPr>
      <w:r w:rsidRPr="00FC5BD1">
        <w:rPr>
          <w:rFonts w:eastAsia="Times New Roman" w:cstheme="minorHAnsi"/>
          <w:b/>
          <w:bCs/>
          <w:color w:val="202124"/>
          <w:sz w:val="36"/>
          <w:szCs w:val="36"/>
          <w:lang w:eastAsia="es-MX"/>
        </w:rPr>
        <w:t>Gen Z s</w:t>
      </w:r>
      <w:r w:rsidR="00B42AC7" w:rsidRPr="00FC5BD1">
        <w:rPr>
          <w:rFonts w:eastAsia="Times New Roman" w:cstheme="minorHAnsi"/>
          <w:b/>
          <w:bCs/>
          <w:color w:val="202124"/>
          <w:sz w:val="36"/>
          <w:szCs w:val="36"/>
          <w:lang w:eastAsia="es-MX"/>
        </w:rPr>
        <w:t>ustainable consumption</w:t>
      </w:r>
      <w:r w:rsidR="00064E79" w:rsidRPr="00FC5BD1">
        <w:rPr>
          <w:rFonts w:eastAsia="Times New Roman" w:cstheme="minorHAnsi"/>
          <w:b/>
          <w:bCs/>
          <w:color w:val="202124"/>
          <w:sz w:val="36"/>
          <w:szCs w:val="36"/>
          <w:lang w:eastAsia="es-MX"/>
        </w:rPr>
        <w:t>: evolution during and after COVID-19</w:t>
      </w:r>
    </w:p>
    <w:p w14:paraId="065D9792" w14:textId="77777777" w:rsidR="00F80155" w:rsidRPr="0064655D" w:rsidRDefault="00F80155" w:rsidP="00420E32">
      <w:pPr>
        <w:spacing w:after="240"/>
        <w:rPr>
          <w:rFonts w:eastAsia="Times New Roman" w:cstheme="minorHAnsi"/>
          <w:b/>
          <w:bCs/>
          <w:color w:val="202124"/>
          <w:sz w:val="32"/>
          <w:szCs w:val="32"/>
          <w:lang w:val="es-CR" w:eastAsia="es-MX"/>
        </w:rPr>
      </w:pPr>
      <w:r w:rsidRPr="0064655D">
        <w:rPr>
          <w:rFonts w:eastAsia="Times New Roman" w:cstheme="minorHAnsi"/>
          <w:b/>
          <w:bCs/>
          <w:color w:val="202124"/>
          <w:sz w:val="32"/>
          <w:szCs w:val="32"/>
          <w:lang w:val="es-CR" w:eastAsia="es-MX"/>
        </w:rPr>
        <w:t xml:space="preserve">Consumo Sostenible en </w:t>
      </w:r>
      <w:proofErr w:type="spellStart"/>
      <w:r w:rsidRPr="0064655D">
        <w:rPr>
          <w:rFonts w:eastAsia="Times New Roman" w:cstheme="minorHAnsi"/>
          <w:b/>
          <w:bCs/>
          <w:color w:val="202124"/>
          <w:sz w:val="32"/>
          <w:szCs w:val="32"/>
          <w:lang w:val="es-CR" w:eastAsia="es-MX"/>
        </w:rPr>
        <w:t>Centennials</w:t>
      </w:r>
      <w:proofErr w:type="spellEnd"/>
      <w:r w:rsidRPr="0064655D">
        <w:rPr>
          <w:rFonts w:eastAsia="Times New Roman" w:cstheme="minorHAnsi"/>
          <w:b/>
          <w:bCs/>
          <w:color w:val="202124"/>
          <w:sz w:val="32"/>
          <w:szCs w:val="32"/>
          <w:lang w:val="es-CR" w:eastAsia="es-MX"/>
        </w:rPr>
        <w:t>: evolución durante y después del COVID-19</w:t>
      </w:r>
    </w:p>
    <w:p w14:paraId="0380D519" w14:textId="01B05F6F" w:rsidR="003F6C5A" w:rsidRPr="0064655D" w:rsidRDefault="003F6C5A" w:rsidP="00763A15">
      <w:pPr>
        <w:rPr>
          <w:rFonts w:eastAsia="Times New Roman" w:cstheme="minorHAnsi"/>
          <w:b/>
          <w:bCs/>
          <w:color w:val="202124"/>
          <w:sz w:val="32"/>
          <w:szCs w:val="32"/>
          <w:lang w:val="pt-BR" w:eastAsia="es-MX"/>
        </w:rPr>
      </w:pPr>
      <w:r w:rsidRPr="0064655D">
        <w:rPr>
          <w:rFonts w:eastAsia="Times New Roman" w:cstheme="minorHAnsi"/>
          <w:b/>
          <w:bCs/>
          <w:color w:val="202124"/>
          <w:sz w:val="32"/>
          <w:szCs w:val="32"/>
          <w:lang w:val="pt-BR" w:eastAsia="es-MX"/>
        </w:rPr>
        <w:t xml:space="preserve">Consumo Sustentável </w:t>
      </w:r>
      <w:r w:rsidR="00A902FF" w:rsidRPr="0064655D">
        <w:rPr>
          <w:rFonts w:eastAsia="Times New Roman" w:cstheme="minorHAnsi"/>
          <w:b/>
          <w:bCs/>
          <w:color w:val="202124"/>
          <w:sz w:val="32"/>
          <w:szCs w:val="32"/>
          <w:lang w:val="pt-BR" w:eastAsia="es-MX"/>
        </w:rPr>
        <w:t>da</w:t>
      </w:r>
      <w:r w:rsidRPr="0064655D">
        <w:rPr>
          <w:rFonts w:eastAsia="Times New Roman" w:cstheme="minorHAnsi"/>
          <w:b/>
          <w:bCs/>
          <w:color w:val="202124"/>
          <w:sz w:val="32"/>
          <w:szCs w:val="32"/>
          <w:lang w:val="pt-BR" w:eastAsia="es-MX"/>
        </w:rPr>
        <w:t xml:space="preserve"> </w:t>
      </w:r>
      <w:proofErr w:type="spellStart"/>
      <w:r w:rsidRPr="0064655D">
        <w:rPr>
          <w:rFonts w:eastAsia="Times New Roman" w:cstheme="minorHAnsi"/>
          <w:b/>
          <w:bCs/>
          <w:color w:val="202124"/>
          <w:sz w:val="32"/>
          <w:szCs w:val="32"/>
          <w:lang w:val="pt-BR" w:eastAsia="es-MX"/>
        </w:rPr>
        <w:t>Centennials</w:t>
      </w:r>
      <w:proofErr w:type="spellEnd"/>
      <w:r w:rsidRPr="0064655D">
        <w:rPr>
          <w:rFonts w:eastAsia="Times New Roman" w:cstheme="minorHAnsi"/>
          <w:b/>
          <w:bCs/>
          <w:color w:val="202124"/>
          <w:sz w:val="32"/>
          <w:szCs w:val="32"/>
          <w:lang w:val="pt-BR" w:eastAsia="es-MX"/>
        </w:rPr>
        <w:t>: evolução durante e após a COVID-19</w:t>
      </w:r>
    </w:p>
    <w:p w14:paraId="54449280" w14:textId="77777777" w:rsidR="00763A15" w:rsidRPr="0064655D" w:rsidRDefault="00763A15" w:rsidP="00763A15">
      <w:pPr>
        <w:rPr>
          <w:rFonts w:eastAsia="Times New Roman" w:cstheme="minorHAnsi"/>
          <w:b/>
          <w:bCs/>
          <w:color w:val="202124"/>
          <w:sz w:val="22"/>
          <w:szCs w:val="22"/>
          <w:lang w:val="pt-BR" w:eastAsia="es-MX"/>
        </w:rPr>
      </w:pPr>
    </w:p>
    <w:p w14:paraId="0FF0BA63" w14:textId="607B9A22" w:rsidR="00057516" w:rsidRPr="00FC5BD1" w:rsidRDefault="00057516" w:rsidP="00763A15">
      <w:pPr>
        <w:rPr>
          <w:rFonts w:eastAsia="Times New Roman" w:cstheme="minorHAnsi"/>
          <w:b/>
          <w:bCs/>
          <w:color w:val="202124"/>
          <w:sz w:val="22"/>
          <w:szCs w:val="22"/>
          <w:lang w:eastAsia="es-MX"/>
        </w:rPr>
      </w:pPr>
      <w:r w:rsidRPr="00FC5BD1">
        <w:rPr>
          <w:rFonts w:eastAsia="Times New Roman" w:cstheme="minorHAnsi"/>
          <w:b/>
          <w:bCs/>
          <w:color w:val="202124"/>
          <w:sz w:val="22"/>
          <w:szCs w:val="22"/>
          <w:lang w:eastAsia="es-MX"/>
        </w:rPr>
        <w:t>R</w:t>
      </w:r>
      <w:r w:rsidR="001F2117" w:rsidRPr="00FC5BD1">
        <w:rPr>
          <w:rFonts w:eastAsia="Times New Roman" w:cstheme="minorHAnsi"/>
          <w:b/>
          <w:bCs/>
          <w:color w:val="202124"/>
          <w:sz w:val="22"/>
          <w:szCs w:val="22"/>
          <w:lang w:eastAsia="es-MX"/>
        </w:rPr>
        <w:t>osa</w:t>
      </w:r>
      <w:r w:rsidR="00760F24" w:rsidRPr="00FC5BD1">
        <w:rPr>
          <w:rFonts w:eastAsia="Times New Roman" w:cstheme="minorHAnsi"/>
          <w:b/>
          <w:bCs/>
          <w:color w:val="202124"/>
          <w:sz w:val="22"/>
          <w:szCs w:val="22"/>
          <w:lang w:eastAsia="es-MX"/>
        </w:rPr>
        <w:t xml:space="preserve"> María</w:t>
      </w:r>
      <w:r w:rsidR="001F2117" w:rsidRPr="00FC5BD1">
        <w:rPr>
          <w:rFonts w:eastAsia="Times New Roman" w:cstheme="minorHAnsi"/>
          <w:b/>
          <w:bCs/>
          <w:color w:val="202124"/>
          <w:sz w:val="22"/>
          <w:szCs w:val="22"/>
          <w:lang w:eastAsia="es-MX"/>
        </w:rPr>
        <w:t xml:space="preserve"> Nava </w:t>
      </w:r>
      <w:r w:rsidR="00760F24" w:rsidRPr="00FC5BD1">
        <w:rPr>
          <w:rFonts w:eastAsia="Times New Roman" w:cstheme="minorHAnsi"/>
          <w:b/>
          <w:bCs/>
          <w:color w:val="202124"/>
          <w:sz w:val="22"/>
          <w:szCs w:val="22"/>
          <w:lang w:eastAsia="es-MX"/>
        </w:rPr>
        <w:t>Rogel</w:t>
      </w:r>
      <w:r w:rsidR="00760F24" w:rsidRPr="00FC5BD1">
        <w:rPr>
          <w:rStyle w:val="Refdenotaalpie"/>
          <w:rFonts w:eastAsia="Times New Roman" w:cstheme="minorHAnsi"/>
          <w:b/>
          <w:bCs/>
          <w:color w:val="202124"/>
          <w:sz w:val="22"/>
          <w:szCs w:val="22"/>
          <w:lang w:eastAsia="es-MX"/>
        </w:rPr>
        <w:footnoteReference w:id="2"/>
      </w:r>
    </w:p>
    <w:p w14:paraId="651A2BF9" w14:textId="4DBF8B3F" w:rsidR="00064E79" w:rsidRPr="00FC5BD1" w:rsidRDefault="00763A15" w:rsidP="00763A15">
      <w:pPr>
        <w:ind w:left="737" w:right="737"/>
        <w:jc w:val="center"/>
        <w:rPr>
          <w:rFonts w:cstheme="minorHAnsi"/>
          <w:b/>
          <w:bCs/>
        </w:rPr>
      </w:pPr>
      <w:r w:rsidRPr="00FC5BD1">
        <w:rPr>
          <w:rFonts w:eastAsia="Times New Roman" w:cstheme="minorHAnsi"/>
          <w:b/>
          <w:bCs/>
          <w:color w:val="202124"/>
          <w:lang w:eastAsia="es-MX"/>
        </w:rPr>
        <w:t>Abstract</w:t>
      </w:r>
    </w:p>
    <w:p w14:paraId="6CBC3CC0" w14:textId="145DB0CB" w:rsidR="00750261" w:rsidRPr="00FC5BD1" w:rsidRDefault="00C2446C" w:rsidP="000C144C">
      <w:pPr>
        <w:ind w:left="737" w:right="737"/>
        <w:jc w:val="both"/>
        <w:rPr>
          <w:rFonts w:eastAsia="Times New Roman" w:cstheme="minorHAnsi"/>
          <w:color w:val="202124"/>
          <w:lang w:eastAsia="es-MX"/>
        </w:rPr>
      </w:pPr>
      <w:r w:rsidRPr="00FC5BD1">
        <w:rPr>
          <w:rFonts w:eastAsia="Times New Roman" w:cstheme="minorHAnsi"/>
          <w:color w:val="202124"/>
          <w:lang w:eastAsia="es-MX"/>
        </w:rPr>
        <w:t xml:space="preserve">Given the power of decision and persuasion that Generation Z is acquiring, it is important to know the changes in the motivations they have towards </w:t>
      </w:r>
      <w:r w:rsidR="00064E79" w:rsidRPr="00FC5BD1">
        <w:rPr>
          <w:rFonts w:eastAsia="Times New Roman" w:cstheme="minorHAnsi"/>
          <w:color w:val="202124"/>
          <w:lang w:eastAsia="es-MX"/>
        </w:rPr>
        <w:t>sustainable consumption</w:t>
      </w:r>
      <w:r w:rsidRPr="00FC5BD1">
        <w:rPr>
          <w:rFonts w:eastAsia="Times New Roman" w:cstheme="minorHAnsi"/>
          <w:color w:val="202124"/>
          <w:lang w:eastAsia="es-MX"/>
        </w:rPr>
        <w:t xml:space="preserve">. This research analyzes the evolution of </w:t>
      </w:r>
      <w:r w:rsidR="008F0FB4" w:rsidRPr="00FC5BD1">
        <w:rPr>
          <w:rFonts w:eastAsia="Times New Roman" w:cstheme="minorHAnsi"/>
          <w:color w:val="202124"/>
          <w:lang w:eastAsia="es-MX"/>
        </w:rPr>
        <w:t xml:space="preserve">sustainable </w:t>
      </w:r>
      <w:r w:rsidR="00134D01" w:rsidRPr="00FC5BD1">
        <w:rPr>
          <w:rFonts w:eastAsia="Times New Roman" w:cstheme="minorHAnsi"/>
          <w:color w:val="202124"/>
          <w:lang w:eastAsia="es-MX"/>
        </w:rPr>
        <w:t xml:space="preserve">food </w:t>
      </w:r>
      <w:r w:rsidRPr="00FC5BD1">
        <w:rPr>
          <w:rFonts w:eastAsia="Times New Roman" w:cstheme="minorHAnsi"/>
          <w:color w:val="202124"/>
          <w:lang w:eastAsia="es-MX"/>
        </w:rPr>
        <w:t xml:space="preserve">consumption factors </w:t>
      </w:r>
      <w:r w:rsidR="008F0FB4" w:rsidRPr="00FC5BD1">
        <w:rPr>
          <w:rFonts w:eastAsia="Times New Roman" w:cstheme="minorHAnsi"/>
          <w:color w:val="202124"/>
          <w:lang w:eastAsia="es-MX"/>
        </w:rPr>
        <w:t>in</w:t>
      </w:r>
      <w:r w:rsidR="00DD04A2" w:rsidRPr="00FC5BD1">
        <w:rPr>
          <w:rFonts w:eastAsia="Times New Roman" w:cstheme="minorHAnsi"/>
          <w:color w:val="202124"/>
          <w:lang w:eastAsia="es-MX"/>
        </w:rPr>
        <w:t xml:space="preserve"> </w:t>
      </w:r>
      <w:r w:rsidRPr="00FC5BD1">
        <w:rPr>
          <w:rFonts w:eastAsia="Times New Roman" w:cstheme="minorHAnsi"/>
          <w:color w:val="202124"/>
          <w:lang w:eastAsia="es-MX"/>
        </w:rPr>
        <w:t>Centennials during and after the pandemic</w:t>
      </w:r>
      <w:r w:rsidR="000C144C" w:rsidRPr="00FC5BD1">
        <w:rPr>
          <w:rFonts w:eastAsia="Times New Roman" w:cstheme="minorHAnsi"/>
          <w:color w:val="202124"/>
          <w:lang w:eastAsia="es-MX"/>
        </w:rPr>
        <w:t>, based on the</w:t>
      </w:r>
      <w:r w:rsidR="00064E79" w:rsidRPr="00FC5BD1">
        <w:rPr>
          <w:rFonts w:eastAsia="Times New Roman" w:cstheme="minorHAnsi"/>
          <w:color w:val="202124"/>
          <w:lang w:eastAsia="es-MX"/>
        </w:rPr>
        <w:t xml:space="preserve"> Theory of Planned </w:t>
      </w:r>
      <w:r w:rsidR="000C144C" w:rsidRPr="00FC5BD1">
        <w:rPr>
          <w:rFonts w:eastAsia="Times New Roman" w:cstheme="minorHAnsi"/>
          <w:color w:val="202124"/>
          <w:lang w:eastAsia="es-MX"/>
        </w:rPr>
        <w:t xml:space="preserve">Behavior, which </w:t>
      </w:r>
      <w:r w:rsidR="00064E79" w:rsidRPr="00FC5BD1">
        <w:rPr>
          <w:rFonts w:eastAsia="Times New Roman" w:cstheme="minorHAnsi"/>
          <w:color w:val="202124"/>
          <w:lang w:eastAsia="es-MX"/>
        </w:rPr>
        <w:t xml:space="preserve">has </w:t>
      </w:r>
      <w:r w:rsidR="000C144C" w:rsidRPr="00FC5BD1">
        <w:rPr>
          <w:rFonts w:eastAsia="Times New Roman" w:cstheme="minorHAnsi"/>
          <w:color w:val="202124"/>
          <w:lang w:eastAsia="es-MX"/>
        </w:rPr>
        <w:t>been</w:t>
      </w:r>
      <w:r w:rsidR="00064E79" w:rsidRPr="00FC5BD1">
        <w:rPr>
          <w:rFonts w:eastAsia="Times New Roman" w:cstheme="minorHAnsi"/>
          <w:color w:val="202124"/>
          <w:lang w:eastAsia="es-MX"/>
        </w:rPr>
        <w:t xml:space="preserve"> widely used to understand </w:t>
      </w:r>
      <w:r w:rsidR="000C144C" w:rsidRPr="00FC5BD1">
        <w:rPr>
          <w:rFonts w:eastAsia="Times New Roman" w:cstheme="minorHAnsi"/>
          <w:color w:val="202124"/>
          <w:lang w:eastAsia="es-MX"/>
        </w:rPr>
        <w:t>this phenomenon</w:t>
      </w:r>
      <w:r w:rsidR="00064E79" w:rsidRPr="00FC5BD1">
        <w:rPr>
          <w:rFonts w:eastAsia="Times New Roman" w:cstheme="minorHAnsi"/>
          <w:color w:val="202124"/>
          <w:lang w:eastAsia="es-MX"/>
        </w:rPr>
        <w:t xml:space="preserve">. </w:t>
      </w:r>
      <w:r w:rsidR="000C144C" w:rsidRPr="00FC5BD1">
        <w:rPr>
          <w:rFonts w:eastAsia="Times New Roman" w:cstheme="minorHAnsi"/>
          <w:color w:val="202124"/>
          <w:lang w:eastAsia="es-MX"/>
        </w:rPr>
        <w:t xml:space="preserve">In the first four months of 2021 and 2023, 662 young people born between 2000 and 2007 were surveyed; with the data collected, regression equations were calculated for each year, demonstrating a significant change in its structure with the Chow Test. </w:t>
      </w:r>
      <w:r w:rsidR="00064E79" w:rsidRPr="00FC5BD1">
        <w:rPr>
          <w:rFonts w:eastAsia="Times New Roman" w:cstheme="minorHAnsi"/>
          <w:color w:val="202124"/>
          <w:lang w:eastAsia="es-MX"/>
        </w:rPr>
        <w:t xml:space="preserve">During the pandemic and </w:t>
      </w:r>
      <w:r w:rsidR="00B42AC7" w:rsidRPr="00FC5BD1">
        <w:rPr>
          <w:rFonts w:eastAsia="Times New Roman" w:cstheme="minorHAnsi"/>
          <w:color w:val="202124"/>
          <w:lang w:eastAsia="es-MX"/>
        </w:rPr>
        <w:t>because of</w:t>
      </w:r>
      <w:r w:rsidR="00064E79" w:rsidRPr="00FC5BD1">
        <w:rPr>
          <w:rFonts w:eastAsia="Times New Roman" w:cstheme="minorHAnsi"/>
          <w:color w:val="202124"/>
          <w:lang w:eastAsia="es-MX"/>
        </w:rPr>
        <w:t xml:space="preserve"> their young age, </w:t>
      </w:r>
      <w:r w:rsidR="000C144C" w:rsidRPr="00FC5BD1">
        <w:rPr>
          <w:rFonts w:eastAsia="Times New Roman" w:cstheme="minorHAnsi"/>
          <w:color w:val="202124"/>
          <w:lang w:eastAsia="es-MX"/>
        </w:rPr>
        <w:t xml:space="preserve">Generation Z </w:t>
      </w:r>
      <w:r w:rsidR="00064E79" w:rsidRPr="00FC5BD1">
        <w:rPr>
          <w:rFonts w:eastAsia="Times New Roman" w:cstheme="minorHAnsi"/>
          <w:color w:val="202124"/>
          <w:lang w:eastAsia="es-MX"/>
        </w:rPr>
        <w:t xml:space="preserve">had </w:t>
      </w:r>
      <w:r w:rsidR="00B42AC7" w:rsidRPr="00FC5BD1">
        <w:rPr>
          <w:rFonts w:eastAsia="Times New Roman" w:cstheme="minorHAnsi"/>
          <w:color w:val="202124"/>
          <w:lang w:eastAsia="es-MX"/>
        </w:rPr>
        <w:t>fewer possibilities</w:t>
      </w:r>
      <w:r w:rsidR="00064E79" w:rsidRPr="00FC5BD1">
        <w:rPr>
          <w:rFonts w:eastAsia="Times New Roman" w:cstheme="minorHAnsi"/>
          <w:color w:val="202124"/>
          <w:lang w:eastAsia="es-MX"/>
        </w:rPr>
        <w:t xml:space="preserve"> to decide; in the new normal they acquired more freedom, increasing their purchase intention</w:t>
      </w:r>
      <w:r w:rsidR="00750261" w:rsidRPr="00FC5BD1">
        <w:rPr>
          <w:rFonts w:eastAsia="Times New Roman" w:cstheme="minorHAnsi"/>
          <w:color w:val="202124"/>
          <w:lang w:eastAsia="es-MX"/>
        </w:rPr>
        <w:t>. This longitudinal study shows that the basic postulates of the Theory of Planned Behavior are fulfilled, if individuals have decision-making power and freedom to select what they prefer.</w:t>
      </w:r>
    </w:p>
    <w:p w14:paraId="07EBCD21" w14:textId="77777777" w:rsidR="00420E32" w:rsidRPr="00FC5BD1" w:rsidRDefault="00420E32" w:rsidP="00763A15">
      <w:pPr>
        <w:ind w:left="737" w:right="737"/>
        <w:jc w:val="both"/>
        <w:rPr>
          <w:rFonts w:eastAsia="Times New Roman" w:cstheme="minorHAnsi"/>
          <w:color w:val="202124"/>
          <w:lang w:eastAsia="es-MX"/>
        </w:rPr>
      </w:pPr>
    </w:p>
    <w:p w14:paraId="70AEFE70" w14:textId="525DB0A2" w:rsidR="00FC5BD1" w:rsidRDefault="00FC5BD1" w:rsidP="00763A15">
      <w:pPr>
        <w:ind w:left="737" w:right="737"/>
        <w:jc w:val="both"/>
        <w:rPr>
          <w:rFonts w:eastAsia="Times New Roman" w:cstheme="minorHAnsi"/>
          <w:color w:val="202124"/>
          <w:lang w:eastAsia="es-MX"/>
        </w:rPr>
      </w:pPr>
      <w:r w:rsidRPr="00E83146">
        <w:rPr>
          <w:rFonts w:eastAsia="Times New Roman" w:cstheme="minorHAnsi"/>
          <w:b/>
          <w:bCs/>
          <w:color w:val="202124"/>
          <w:lang w:eastAsia="es-MX"/>
        </w:rPr>
        <w:t>Keywords:</w:t>
      </w:r>
      <w:r w:rsidRPr="00FC5BD1">
        <w:rPr>
          <w:rFonts w:eastAsia="Times New Roman" w:cstheme="minorHAnsi"/>
          <w:color w:val="202124"/>
          <w:lang w:eastAsia="es-MX"/>
        </w:rPr>
        <w:t xml:space="preserve"> </w:t>
      </w:r>
      <w:r w:rsidR="000F3527" w:rsidRPr="000F3527">
        <w:rPr>
          <w:rFonts w:eastAsia="Times New Roman" w:cstheme="minorHAnsi"/>
          <w:color w:val="202124"/>
          <w:lang w:eastAsia="es-MX"/>
        </w:rPr>
        <w:t>Sustainable consumption, food, decision-making power, purchase intention</w:t>
      </w:r>
      <w:r w:rsidR="00B2252D">
        <w:rPr>
          <w:rFonts w:eastAsia="Times New Roman" w:cstheme="minorHAnsi"/>
          <w:color w:val="202124"/>
          <w:lang w:eastAsia="es-MX"/>
        </w:rPr>
        <w:t>,</w:t>
      </w:r>
      <w:r w:rsidR="000F3527" w:rsidRPr="000F3527">
        <w:rPr>
          <w:rFonts w:eastAsia="Times New Roman" w:cstheme="minorHAnsi"/>
          <w:color w:val="202124"/>
          <w:lang w:eastAsia="es-MX"/>
        </w:rPr>
        <w:t xml:space="preserve"> longitudinal study.</w:t>
      </w:r>
    </w:p>
    <w:p w14:paraId="65828684" w14:textId="77777777" w:rsidR="000F3527" w:rsidRPr="00FC5BD1" w:rsidRDefault="000F3527" w:rsidP="00763A15">
      <w:pPr>
        <w:ind w:left="737" w:right="737"/>
        <w:jc w:val="both"/>
        <w:rPr>
          <w:rFonts w:eastAsia="Times New Roman" w:cstheme="minorHAnsi"/>
          <w:color w:val="202124"/>
          <w:lang w:eastAsia="es-MX"/>
        </w:rPr>
      </w:pPr>
    </w:p>
    <w:p w14:paraId="123C7AE6" w14:textId="77777777" w:rsidR="00420E32" w:rsidRPr="0064655D" w:rsidRDefault="00420E32" w:rsidP="00420E32">
      <w:pPr>
        <w:ind w:left="737" w:right="737"/>
        <w:jc w:val="center"/>
        <w:rPr>
          <w:rFonts w:eastAsia="Times New Roman" w:cstheme="minorHAnsi"/>
          <w:b/>
          <w:bCs/>
          <w:color w:val="202124"/>
          <w:lang w:val="es-CR" w:eastAsia="es-MX"/>
        </w:rPr>
      </w:pPr>
      <w:r w:rsidRPr="0064655D">
        <w:rPr>
          <w:rFonts w:eastAsia="Times New Roman" w:cstheme="minorHAnsi"/>
          <w:b/>
          <w:bCs/>
          <w:color w:val="202124"/>
          <w:lang w:val="es-CR" w:eastAsia="es-MX"/>
        </w:rPr>
        <w:t>Resumen</w:t>
      </w:r>
    </w:p>
    <w:p w14:paraId="5B72EAE2" w14:textId="77777777" w:rsidR="00DD04A2" w:rsidRPr="0064655D" w:rsidRDefault="00DD04A2" w:rsidP="00DD04A2">
      <w:pPr>
        <w:ind w:left="737" w:right="737"/>
        <w:jc w:val="both"/>
        <w:rPr>
          <w:rFonts w:eastAsia="Times New Roman" w:cstheme="minorHAnsi"/>
          <w:color w:val="202124"/>
          <w:lang w:val="es-CR" w:eastAsia="es-MX"/>
        </w:rPr>
      </w:pPr>
      <w:r w:rsidRPr="0064655D">
        <w:rPr>
          <w:rFonts w:eastAsia="Times New Roman" w:cstheme="minorHAnsi"/>
          <w:color w:val="202124"/>
          <w:lang w:val="es-CR" w:eastAsia="es-MX"/>
        </w:rPr>
        <w:t xml:space="preserve">Dado el poder de decisión y persuasión que la generación Z está adquiriendo, es importante conocer los cambios en las motivaciones que </w:t>
      </w:r>
      <w:r w:rsidRPr="0064655D">
        <w:rPr>
          <w:rFonts w:eastAsia="Times New Roman" w:cstheme="minorHAnsi"/>
          <w:color w:val="202124"/>
          <w:lang w:val="es-CR" w:eastAsia="es-MX"/>
        </w:rPr>
        <w:lastRenderedPageBreak/>
        <w:t xml:space="preserve">tienen hacia el consumo sostenible. Esta investigación analiza la evolución de los factores del consumo sostenible en la alimentación de </w:t>
      </w:r>
      <w:proofErr w:type="spellStart"/>
      <w:r w:rsidRPr="0064655D">
        <w:rPr>
          <w:rFonts w:eastAsia="Times New Roman" w:cstheme="minorHAnsi"/>
          <w:color w:val="202124"/>
          <w:lang w:val="es-CR" w:eastAsia="es-MX"/>
        </w:rPr>
        <w:t>centennilas</w:t>
      </w:r>
      <w:proofErr w:type="spellEnd"/>
      <w:r w:rsidRPr="0064655D">
        <w:rPr>
          <w:rFonts w:eastAsia="Times New Roman" w:cstheme="minorHAnsi"/>
          <w:color w:val="202124"/>
          <w:lang w:val="es-CR" w:eastAsia="es-MX"/>
        </w:rPr>
        <w:t xml:space="preserve"> durante y después de la pandemia, tomando como base la Teoría del Comportamiento Planificado, que ha sido ampliamente utilizada para comprender este fenómeno. En el primer cuatrimestre de 2021 y 2023, se encuestó a 662 jóvenes nacidos entre 2000 y 2007; con los datos recopilados se calcularon ecuaciones de regresión para cada año, demostrando un cambio significativo en su estructura con </w:t>
      </w:r>
      <w:proofErr w:type="gramStart"/>
      <w:r w:rsidRPr="0064655D">
        <w:rPr>
          <w:rFonts w:eastAsia="Times New Roman" w:cstheme="minorHAnsi"/>
          <w:color w:val="202124"/>
          <w:lang w:val="es-CR" w:eastAsia="es-MX"/>
        </w:rPr>
        <w:t>el Test</w:t>
      </w:r>
      <w:proofErr w:type="gramEnd"/>
      <w:r w:rsidRPr="0064655D">
        <w:rPr>
          <w:rFonts w:eastAsia="Times New Roman" w:cstheme="minorHAnsi"/>
          <w:color w:val="202124"/>
          <w:lang w:val="es-CR" w:eastAsia="es-MX"/>
        </w:rPr>
        <w:t xml:space="preserve"> de </w:t>
      </w:r>
      <w:proofErr w:type="spellStart"/>
      <w:r w:rsidRPr="0064655D">
        <w:rPr>
          <w:rFonts w:eastAsia="Times New Roman" w:cstheme="minorHAnsi"/>
          <w:color w:val="202124"/>
          <w:lang w:val="es-CR" w:eastAsia="es-MX"/>
        </w:rPr>
        <w:t>Chow</w:t>
      </w:r>
      <w:proofErr w:type="spellEnd"/>
      <w:r w:rsidRPr="0064655D">
        <w:rPr>
          <w:rFonts w:eastAsia="Times New Roman" w:cstheme="minorHAnsi"/>
          <w:color w:val="202124"/>
          <w:lang w:val="es-CR" w:eastAsia="es-MX"/>
        </w:rPr>
        <w:t>. Durante la pandemia y por su corta edad, la generación Z tenía menos posibilidades de decidir; en la nueva normalidad adquirieron más libertades, incrementando su intención de compra. Este estudio longitudinal evidencia que los postulados básicos de la Teoría del Comportamiento Planificado se cumplen cuando los individuos tienen poder de decisión y libertad para seleccionar lo que prefieran.</w:t>
      </w:r>
    </w:p>
    <w:p w14:paraId="612AF81D" w14:textId="77777777" w:rsidR="00A902FF" w:rsidRPr="0064655D" w:rsidRDefault="00A902FF" w:rsidP="00763A15">
      <w:pPr>
        <w:ind w:left="737" w:right="737"/>
        <w:jc w:val="both"/>
        <w:rPr>
          <w:rFonts w:cstheme="minorHAnsi"/>
          <w:lang w:val="es-CR"/>
        </w:rPr>
      </w:pPr>
    </w:p>
    <w:p w14:paraId="214BC494" w14:textId="0E7FC5C3" w:rsidR="00ED0051" w:rsidRPr="00ED0051" w:rsidRDefault="00ED0051" w:rsidP="00763A15">
      <w:pPr>
        <w:ind w:left="737" w:right="737"/>
        <w:jc w:val="both"/>
        <w:rPr>
          <w:rFonts w:cstheme="minorHAnsi"/>
          <w:lang w:val="es-CR"/>
        </w:rPr>
      </w:pPr>
      <w:r w:rsidRPr="00ED0051">
        <w:rPr>
          <w:rFonts w:cstheme="minorHAnsi"/>
          <w:b/>
          <w:bCs/>
          <w:lang w:val="es-CR"/>
        </w:rPr>
        <w:t>Palabras clave:</w:t>
      </w:r>
      <w:r>
        <w:rPr>
          <w:rFonts w:cstheme="minorHAnsi"/>
          <w:lang w:val="es-CR"/>
        </w:rPr>
        <w:t xml:space="preserve"> </w:t>
      </w:r>
      <w:r w:rsidRPr="00ED0051">
        <w:rPr>
          <w:rFonts w:cstheme="minorHAnsi"/>
          <w:lang w:val="es-CR"/>
        </w:rPr>
        <w:t>Consumo sostenible, alimentación, poder de decisión, intención de compra</w:t>
      </w:r>
      <w:r w:rsidR="0064655D">
        <w:rPr>
          <w:rFonts w:cstheme="minorHAnsi"/>
          <w:lang w:val="es-CR"/>
        </w:rPr>
        <w:t xml:space="preserve">, </w:t>
      </w:r>
      <w:r w:rsidRPr="00ED0051">
        <w:rPr>
          <w:rFonts w:cstheme="minorHAnsi"/>
          <w:lang w:val="es-CR"/>
        </w:rPr>
        <w:t>estudio longitudinal.</w:t>
      </w:r>
    </w:p>
    <w:p w14:paraId="5227FE6C" w14:textId="5050D889" w:rsidR="00A902FF" w:rsidRPr="00FC5BD1" w:rsidRDefault="00A902FF" w:rsidP="00F80155">
      <w:pPr>
        <w:ind w:left="737" w:right="737"/>
        <w:jc w:val="center"/>
        <w:rPr>
          <w:rFonts w:cstheme="minorHAnsi"/>
          <w:b/>
          <w:bCs/>
        </w:rPr>
      </w:pPr>
      <w:proofErr w:type="spellStart"/>
      <w:r w:rsidRPr="00FC5BD1">
        <w:rPr>
          <w:rFonts w:cstheme="minorHAnsi"/>
          <w:b/>
          <w:bCs/>
        </w:rPr>
        <w:t>Resumo</w:t>
      </w:r>
      <w:proofErr w:type="spellEnd"/>
    </w:p>
    <w:p w14:paraId="29C4A1A2" w14:textId="6F3462FB" w:rsidR="00064E79" w:rsidRPr="0064655D" w:rsidRDefault="00DD04A2" w:rsidP="00763A15">
      <w:pPr>
        <w:ind w:left="737" w:right="737"/>
        <w:jc w:val="both"/>
        <w:rPr>
          <w:rFonts w:cstheme="minorHAnsi"/>
          <w:lang w:val="pt-BR"/>
        </w:rPr>
      </w:pPr>
      <w:r w:rsidRPr="0064655D">
        <w:rPr>
          <w:rFonts w:cstheme="minorHAnsi"/>
          <w:lang w:val="pt-BR"/>
        </w:rPr>
        <w:t xml:space="preserve">Dado o poder de decisão e persuasão que a geração Z está a adquirir, é importante conhecer as mudanças nas motivações que têm para o consumo sustentável. Esta pesquisa analisa a evolução dos fatores de consumo sustentável na alimentação das sentinelas durante e após a pandemia, com base na Teoria do Comportamento Planejado, que tem sido amplamente utilizada para compreender esse fenômeno. No primeiro trimestre de 2021 e 2023 foram inquiridos 662 jovens nascidos entre 2000 e 2007; com os dados coletados foram calculadas equações de regressão para cada ano, demonstrando alteração significativa na sua estrutura com o Teste de </w:t>
      </w:r>
      <w:proofErr w:type="spellStart"/>
      <w:r w:rsidRPr="0064655D">
        <w:rPr>
          <w:rFonts w:cstheme="minorHAnsi"/>
          <w:lang w:val="pt-BR"/>
        </w:rPr>
        <w:t>Chow</w:t>
      </w:r>
      <w:proofErr w:type="spellEnd"/>
      <w:r w:rsidRPr="0064655D">
        <w:rPr>
          <w:rFonts w:cstheme="minorHAnsi"/>
          <w:lang w:val="pt-BR"/>
        </w:rPr>
        <w:t>.</w:t>
      </w:r>
      <w:r w:rsidR="00A902FF" w:rsidRPr="0064655D">
        <w:rPr>
          <w:rFonts w:cstheme="minorHAnsi"/>
          <w:lang w:val="pt-BR"/>
        </w:rPr>
        <w:t xml:space="preserve"> Este estudo longitudinal mostra que os </w:t>
      </w:r>
      <w:r w:rsidR="00750261" w:rsidRPr="0064655D">
        <w:rPr>
          <w:rFonts w:cstheme="minorHAnsi"/>
          <w:lang w:val="pt-BR"/>
        </w:rPr>
        <w:t>postulados básicos da Teoria do Comportamento Planejado são atendidos quando os indivíduos têm poder de decisão e liberdade para selecionar o que preferem.</w:t>
      </w:r>
    </w:p>
    <w:p w14:paraId="68CCD521" w14:textId="77777777" w:rsidR="0019150F" w:rsidRPr="0064655D" w:rsidRDefault="0019150F" w:rsidP="00763A15">
      <w:pPr>
        <w:ind w:left="737" w:right="737"/>
        <w:jc w:val="both"/>
        <w:rPr>
          <w:rFonts w:cstheme="minorHAnsi"/>
          <w:lang w:val="pt-BR"/>
        </w:rPr>
      </w:pPr>
    </w:p>
    <w:p w14:paraId="030A44FC" w14:textId="132C01F5" w:rsidR="0019150F" w:rsidRPr="0019150F" w:rsidRDefault="0019150F" w:rsidP="00763A15">
      <w:pPr>
        <w:ind w:left="737" w:right="737"/>
        <w:jc w:val="both"/>
        <w:rPr>
          <w:rFonts w:cstheme="minorHAnsi"/>
          <w:lang w:val="pt-BR"/>
        </w:rPr>
      </w:pPr>
      <w:proofErr w:type="gramStart"/>
      <w:r w:rsidRPr="00ED0051">
        <w:rPr>
          <w:rFonts w:cstheme="minorHAnsi"/>
          <w:b/>
          <w:bCs/>
          <w:lang w:val="pt-BR"/>
        </w:rPr>
        <w:t>Palavras chave</w:t>
      </w:r>
      <w:proofErr w:type="gramEnd"/>
      <w:r w:rsidRPr="00ED0051">
        <w:rPr>
          <w:rFonts w:cstheme="minorHAnsi"/>
          <w:b/>
          <w:bCs/>
          <w:lang w:val="pt-BR"/>
        </w:rPr>
        <w:t>:</w:t>
      </w:r>
      <w:r w:rsidRPr="0019150F">
        <w:rPr>
          <w:rFonts w:cstheme="minorHAnsi"/>
          <w:lang w:val="pt-BR"/>
        </w:rPr>
        <w:t xml:space="preserve"> Consumo sustentável, alimentos, poder de decisão, estudo longitudinal</w:t>
      </w:r>
      <w:r w:rsidR="00872AD8">
        <w:rPr>
          <w:rFonts w:cstheme="minorHAnsi"/>
          <w:lang w:val="pt-BR"/>
        </w:rPr>
        <w:t xml:space="preserve">, </w:t>
      </w:r>
      <w:r w:rsidRPr="0019150F">
        <w:rPr>
          <w:rFonts w:cstheme="minorHAnsi"/>
          <w:lang w:val="pt-BR"/>
        </w:rPr>
        <w:t>intenção de compra.</w:t>
      </w:r>
    </w:p>
    <w:p w14:paraId="45128E8C" w14:textId="4B04C008" w:rsidR="00064E79" w:rsidRPr="0019150F" w:rsidRDefault="00064E79" w:rsidP="000F3527">
      <w:pPr>
        <w:ind w:right="737"/>
        <w:jc w:val="both"/>
        <w:rPr>
          <w:rFonts w:cstheme="minorHAnsi"/>
          <w:lang w:val="pt-BR"/>
        </w:rPr>
      </w:pPr>
    </w:p>
    <w:p w14:paraId="2A2176CF" w14:textId="43A17A3C" w:rsidR="0056071F" w:rsidRPr="00FC5BD1" w:rsidRDefault="00CB0868" w:rsidP="00CB0868">
      <w:pPr>
        <w:pStyle w:val="Ttulo1"/>
        <w:numPr>
          <w:ilvl w:val="0"/>
          <w:numId w:val="2"/>
        </w:numPr>
        <w:spacing w:before="0" w:after="0"/>
      </w:pPr>
      <w:r w:rsidRPr="00FC5BD1">
        <w:t>Introduction</w:t>
      </w:r>
    </w:p>
    <w:p w14:paraId="5A79BBE8" w14:textId="235FB261" w:rsidR="00064E79" w:rsidRPr="00FC5BD1" w:rsidRDefault="00064E79" w:rsidP="00FD2688">
      <w:pPr>
        <w:spacing w:after="240" w:line="360" w:lineRule="auto"/>
        <w:jc w:val="both"/>
        <w:rPr>
          <w:rFonts w:cstheme="minorHAnsi"/>
        </w:rPr>
      </w:pPr>
      <w:r w:rsidRPr="00FC5BD1">
        <w:rPr>
          <w:rFonts w:cstheme="minorHAnsi"/>
        </w:rPr>
        <w:t>In the last century, human beings have drastically changed their habits, which has allowed them to develop faster means of transportation, more modern and efficient means of communication, the most far-reaching offer of clothing and fashion accessories, and the largest production of</w:t>
      </w:r>
      <w:r w:rsidR="00F82F15" w:rsidRPr="00FC5BD1">
        <w:rPr>
          <w:rFonts w:cstheme="minorHAnsi"/>
        </w:rPr>
        <w:t xml:space="preserve"> </w:t>
      </w:r>
      <w:proofErr w:type="gramStart"/>
      <w:r w:rsidRPr="00FC5BD1">
        <w:rPr>
          <w:rFonts w:cstheme="minorHAnsi"/>
        </w:rPr>
        <w:t>animal origin</w:t>
      </w:r>
      <w:proofErr w:type="gramEnd"/>
      <w:r w:rsidRPr="00FC5BD1">
        <w:rPr>
          <w:rFonts w:cstheme="minorHAnsi"/>
        </w:rPr>
        <w:t xml:space="preserve"> </w:t>
      </w:r>
      <w:r w:rsidR="00F82F15" w:rsidRPr="00FC5BD1">
        <w:rPr>
          <w:rFonts w:cstheme="minorHAnsi"/>
        </w:rPr>
        <w:t xml:space="preserve">food </w:t>
      </w:r>
      <w:r w:rsidRPr="00FC5BD1">
        <w:rPr>
          <w:rFonts w:cstheme="minorHAnsi"/>
        </w:rPr>
        <w:t xml:space="preserve">such as milk and meat. However, this massive and </w:t>
      </w:r>
      <w:r w:rsidRPr="00FC5BD1">
        <w:rPr>
          <w:rFonts w:cstheme="minorHAnsi"/>
        </w:rPr>
        <w:lastRenderedPageBreak/>
        <w:t xml:space="preserve">voracious consumption has caused a growing and worrying deterioration of the environment. Three of the most important causes are the emission of polluting gases from factories and automobiles (Salinas-Callejas &amp; Gasca-Quezada, </w:t>
      </w:r>
      <w:r w:rsidRPr="00FC5BD1">
        <w:rPr>
          <w:rFonts w:cstheme="minorHAnsi"/>
          <w:color w:val="C00000"/>
        </w:rPr>
        <w:t>2009</w:t>
      </w:r>
      <w:r w:rsidRPr="00FC5BD1">
        <w:rPr>
          <w:rFonts w:cstheme="minorHAnsi"/>
        </w:rPr>
        <w:t xml:space="preserve">); the excessive felling of trees </w:t>
      </w:r>
      <w:r w:rsidR="004559B1" w:rsidRPr="00FC5BD1">
        <w:rPr>
          <w:rFonts w:cstheme="minorHAnsi"/>
        </w:rPr>
        <w:t>which</w:t>
      </w:r>
      <w:r w:rsidRPr="00FC5BD1">
        <w:rPr>
          <w:rFonts w:cstheme="minorHAnsi"/>
        </w:rPr>
        <w:t xml:space="preserve"> generates land and rivers </w:t>
      </w:r>
      <w:r w:rsidR="004559B1" w:rsidRPr="00FC5BD1">
        <w:rPr>
          <w:rFonts w:cstheme="minorHAnsi"/>
        </w:rPr>
        <w:t xml:space="preserve">erosion </w:t>
      </w:r>
      <w:r w:rsidRPr="00FC5BD1">
        <w:rPr>
          <w:rFonts w:cstheme="minorHAnsi"/>
        </w:rPr>
        <w:t xml:space="preserve">(Coffin, </w:t>
      </w:r>
      <w:r w:rsidRPr="00FC5BD1">
        <w:rPr>
          <w:rFonts w:cstheme="minorHAnsi"/>
          <w:color w:val="C00000"/>
        </w:rPr>
        <w:t>2007</w:t>
      </w:r>
      <w:r w:rsidRPr="00FC5BD1">
        <w:rPr>
          <w:rFonts w:cstheme="minorHAnsi"/>
        </w:rPr>
        <w:t xml:space="preserve">); and water and air pollution, largely caused by the clothing (Madhav, Ahamad, Singh &amp; Mishra, </w:t>
      </w:r>
      <w:r w:rsidRPr="00FC5BD1">
        <w:rPr>
          <w:rFonts w:cstheme="minorHAnsi"/>
          <w:color w:val="C00000"/>
        </w:rPr>
        <w:t>2018</w:t>
      </w:r>
      <w:r w:rsidRPr="00FC5BD1">
        <w:rPr>
          <w:rFonts w:cstheme="minorHAnsi"/>
        </w:rPr>
        <w:t xml:space="preserve">) and food </w:t>
      </w:r>
      <w:r w:rsidR="00F82F15" w:rsidRPr="00FC5BD1">
        <w:rPr>
          <w:rFonts w:cstheme="minorHAnsi"/>
        </w:rPr>
        <w:t>industr</w:t>
      </w:r>
      <w:r w:rsidR="004559B1" w:rsidRPr="00FC5BD1">
        <w:rPr>
          <w:rFonts w:cstheme="minorHAnsi"/>
        </w:rPr>
        <w:t>ies</w:t>
      </w:r>
      <w:r w:rsidR="00F82F15" w:rsidRPr="00FC5BD1">
        <w:rPr>
          <w:rFonts w:cstheme="minorHAnsi"/>
        </w:rPr>
        <w:t xml:space="preserve"> </w:t>
      </w:r>
      <w:r w:rsidRPr="00FC5BD1">
        <w:rPr>
          <w:rFonts w:cstheme="minorHAnsi"/>
        </w:rPr>
        <w:t xml:space="preserve">(Sun, Yun &amp; Yu, </w:t>
      </w:r>
      <w:r w:rsidRPr="00FC5BD1">
        <w:rPr>
          <w:rFonts w:cstheme="minorHAnsi"/>
          <w:color w:val="C00000"/>
        </w:rPr>
        <w:t>2017</w:t>
      </w:r>
      <w:r w:rsidRPr="00FC5BD1">
        <w:rPr>
          <w:rFonts w:cstheme="minorHAnsi"/>
        </w:rPr>
        <w:t>).</w:t>
      </w:r>
    </w:p>
    <w:p w14:paraId="71A486D4" w14:textId="266768F3" w:rsidR="004559B1" w:rsidRPr="00FC5BD1" w:rsidRDefault="00064E79" w:rsidP="00FD2688">
      <w:pPr>
        <w:spacing w:after="240" w:line="360" w:lineRule="auto"/>
        <w:jc w:val="both"/>
        <w:rPr>
          <w:rFonts w:cstheme="minorHAnsi"/>
        </w:rPr>
      </w:pPr>
      <w:r w:rsidRPr="00FC5BD1">
        <w:rPr>
          <w:rFonts w:cstheme="minorHAnsi"/>
        </w:rPr>
        <w:t>Around the world (</w:t>
      </w:r>
      <w:r w:rsidR="004559B1" w:rsidRPr="00FC5BD1">
        <w:rPr>
          <w:rFonts w:cstheme="minorHAnsi"/>
        </w:rPr>
        <w:t>especially</w:t>
      </w:r>
      <w:r w:rsidRPr="00FC5BD1">
        <w:rPr>
          <w:rFonts w:cstheme="minorHAnsi"/>
        </w:rPr>
        <w:t xml:space="preserve"> in developed countries), people are </w:t>
      </w:r>
      <w:r w:rsidR="004559B1" w:rsidRPr="00FC5BD1">
        <w:rPr>
          <w:rFonts w:cstheme="minorHAnsi"/>
        </w:rPr>
        <w:t>increasingly</w:t>
      </w:r>
      <w:r w:rsidRPr="00FC5BD1">
        <w:rPr>
          <w:rFonts w:cstheme="minorHAnsi"/>
        </w:rPr>
        <w:t xml:space="preserve"> informed about how they can have more sustainable behaviors, making considerable efforts to modify their consumption patterns (Wang, Ghadimi, Lim &amp; Tseng, </w:t>
      </w:r>
      <w:r w:rsidRPr="00FC5BD1">
        <w:rPr>
          <w:rFonts w:cstheme="minorHAnsi"/>
          <w:color w:val="C00000"/>
        </w:rPr>
        <w:t>2019</w:t>
      </w:r>
      <w:r w:rsidRPr="00FC5BD1">
        <w:rPr>
          <w:rFonts w:cstheme="minorHAnsi"/>
        </w:rPr>
        <w:t xml:space="preserve">) and tend to negatively evaluate companies that do not follow these principles (Signori, Gozzo, Flint &amp; </w:t>
      </w:r>
      <w:proofErr w:type="spellStart"/>
      <w:r w:rsidRPr="00FC5BD1">
        <w:rPr>
          <w:rFonts w:cstheme="minorHAnsi"/>
        </w:rPr>
        <w:t>Millfeld</w:t>
      </w:r>
      <w:proofErr w:type="spellEnd"/>
      <w:r w:rsidRPr="00FC5BD1">
        <w:rPr>
          <w:rFonts w:cstheme="minorHAnsi"/>
        </w:rPr>
        <w:t xml:space="preserve">, </w:t>
      </w:r>
      <w:r w:rsidRPr="00FC5BD1">
        <w:rPr>
          <w:rFonts w:cstheme="minorHAnsi"/>
          <w:color w:val="C00000"/>
        </w:rPr>
        <w:t>2019</w:t>
      </w:r>
      <w:r w:rsidRPr="00FC5BD1">
        <w:rPr>
          <w:rFonts w:cstheme="minorHAnsi"/>
        </w:rPr>
        <w:t xml:space="preserve">). </w:t>
      </w:r>
      <w:r w:rsidR="004559B1" w:rsidRPr="00FC5BD1">
        <w:rPr>
          <w:rFonts w:cstheme="minorHAnsi"/>
        </w:rPr>
        <w:t xml:space="preserve">Sustainable behavior focused particularly on food, has been envisioned </w:t>
      </w:r>
      <w:proofErr w:type="gramStart"/>
      <w:r w:rsidR="004559B1" w:rsidRPr="00FC5BD1">
        <w:rPr>
          <w:rFonts w:cstheme="minorHAnsi"/>
        </w:rPr>
        <w:t>as a way to</w:t>
      </w:r>
      <w:proofErr w:type="gramEnd"/>
      <w:r w:rsidR="004559B1" w:rsidRPr="00FC5BD1">
        <w:rPr>
          <w:rFonts w:cstheme="minorHAnsi"/>
        </w:rPr>
        <w:t xml:space="preserve"> start a more sustainable and measured lifestyle (</w:t>
      </w:r>
      <w:r w:rsidR="00A902FF" w:rsidRPr="00FC5BD1">
        <w:rPr>
          <w:rFonts w:cstheme="minorHAnsi"/>
        </w:rPr>
        <w:t xml:space="preserve">Wang, et al. </w:t>
      </w:r>
      <w:r w:rsidR="00A902FF" w:rsidRPr="00FC5BD1">
        <w:rPr>
          <w:rFonts w:cstheme="minorHAnsi"/>
          <w:color w:val="C00000"/>
        </w:rPr>
        <w:t>2019</w:t>
      </w:r>
      <w:r w:rsidR="004559B1" w:rsidRPr="00FC5BD1">
        <w:rPr>
          <w:rFonts w:cstheme="minorHAnsi"/>
        </w:rPr>
        <w:t>). Despite this, sustainable consumption in food has not received the attention it deserves (Govindan</w:t>
      </w:r>
      <w:r w:rsidR="00103B11" w:rsidRPr="00FC5BD1">
        <w:rPr>
          <w:rFonts w:cstheme="minorHAnsi"/>
        </w:rPr>
        <w:t xml:space="preserve"> &amp; </w:t>
      </w:r>
      <w:proofErr w:type="spellStart"/>
      <w:r w:rsidR="00103B11" w:rsidRPr="00FC5BD1">
        <w:rPr>
          <w:rFonts w:cstheme="minorHAnsi"/>
        </w:rPr>
        <w:t>Hasanagic</w:t>
      </w:r>
      <w:proofErr w:type="spellEnd"/>
      <w:r w:rsidR="004559B1" w:rsidRPr="00FC5BD1">
        <w:rPr>
          <w:rFonts w:cstheme="minorHAnsi"/>
        </w:rPr>
        <w:t xml:space="preserve">, </w:t>
      </w:r>
      <w:r w:rsidR="004559B1" w:rsidRPr="00FC5BD1">
        <w:rPr>
          <w:rFonts w:cstheme="minorHAnsi"/>
          <w:color w:val="C00000"/>
        </w:rPr>
        <w:t>2018</w:t>
      </w:r>
      <w:r w:rsidR="004559B1" w:rsidRPr="00FC5BD1">
        <w:rPr>
          <w:rFonts w:cstheme="minorHAnsi"/>
        </w:rPr>
        <w:t>), so this research focuses on the food sector in a country with an emerging economy.</w:t>
      </w:r>
    </w:p>
    <w:p w14:paraId="5F5580AA" w14:textId="59E08CA7" w:rsidR="00064E79" w:rsidRPr="00FC5BD1" w:rsidRDefault="004559B1" w:rsidP="00064E79">
      <w:pPr>
        <w:spacing w:line="360" w:lineRule="auto"/>
        <w:jc w:val="both"/>
        <w:rPr>
          <w:rFonts w:cstheme="minorHAnsi"/>
        </w:rPr>
      </w:pPr>
      <w:r w:rsidRPr="00FC5BD1">
        <w:rPr>
          <w:rFonts w:cstheme="minorHAnsi"/>
        </w:rPr>
        <w:t>In</w:t>
      </w:r>
      <w:r w:rsidR="00064E79" w:rsidRPr="00FC5BD1">
        <w:rPr>
          <w:rFonts w:cstheme="minorHAnsi"/>
        </w:rPr>
        <w:t xml:space="preserve"> countries with emerging economies, many of the efforts of consumers with a high degree of sustainable awareness cannot land </w:t>
      </w:r>
      <w:r w:rsidR="000F7EAB" w:rsidRPr="00FC5BD1">
        <w:rPr>
          <w:rFonts w:cstheme="minorHAnsi"/>
        </w:rPr>
        <w:t>i</w:t>
      </w:r>
      <w:r w:rsidR="00064E79" w:rsidRPr="00FC5BD1">
        <w:rPr>
          <w:rFonts w:cstheme="minorHAnsi"/>
        </w:rPr>
        <w:t xml:space="preserve">n concrete actions, </w:t>
      </w:r>
      <w:r w:rsidR="000F7EAB" w:rsidRPr="00FC5BD1">
        <w:rPr>
          <w:rFonts w:cstheme="minorHAnsi"/>
        </w:rPr>
        <w:t>due to</w:t>
      </w:r>
      <w:r w:rsidR="00064E79" w:rsidRPr="00FC5BD1">
        <w:rPr>
          <w:rFonts w:cstheme="minorHAnsi"/>
        </w:rPr>
        <w:t xml:space="preserve"> little information on the treatment and consequences of food waste and packaging (Dabija, Bejan &amp; Pușcaș, 2020)</w:t>
      </w:r>
      <w:r w:rsidR="000F7EAB" w:rsidRPr="00FC5BD1">
        <w:rPr>
          <w:rFonts w:cstheme="minorHAnsi"/>
        </w:rPr>
        <w:t>. I</w:t>
      </w:r>
      <w:r w:rsidR="00064E79" w:rsidRPr="00FC5BD1">
        <w:rPr>
          <w:rFonts w:cstheme="minorHAnsi"/>
        </w:rPr>
        <w:t>n addition</w:t>
      </w:r>
      <w:r w:rsidR="000F7EAB" w:rsidRPr="00FC5BD1">
        <w:rPr>
          <w:rFonts w:cstheme="minorHAnsi"/>
        </w:rPr>
        <w:t>, there is a</w:t>
      </w:r>
      <w:r w:rsidR="00064E79" w:rsidRPr="00FC5BD1">
        <w:rPr>
          <w:rFonts w:cstheme="minorHAnsi"/>
        </w:rPr>
        <w:t xml:space="preserve"> lack of attention </w:t>
      </w:r>
      <w:r w:rsidR="00811254" w:rsidRPr="00FC5BD1">
        <w:rPr>
          <w:rFonts w:cstheme="minorHAnsi"/>
        </w:rPr>
        <w:t>in</w:t>
      </w:r>
      <w:r w:rsidR="00064E79" w:rsidRPr="00FC5BD1">
        <w:rPr>
          <w:rFonts w:cstheme="minorHAnsi"/>
        </w:rPr>
        <w:t xml:space="preserve"> government policies, where they give preference to giving food to the hungry without considering environmental deterioration (Fang, Cote &amp; Qin, </w:t>
      </w:r>
      <w:r w:rsidR="00064E79" w:rsidRPr="00FC5BD1">
        <w:rPr>
          <w:rFonts w:cstheme="minorHAnsi"/>
          <w:color w:val="C00000"/>
        </w:rPr>
        <w:t>2007</w:t>
      </w:r>
      <w:r w:rsidR="00064E79" w:rsidRPr="00FC5BD1">
        <w:rPr>
          <w:rFonts w:cstheme="minorHAnsi"/>
        </w:rPr>
        <w:t>)</w:t>
      </w:r>
      <w:r w:rsidR="00811254" w:rsidRPr="00FC5BD1">
        <w:rPr>
          <w:rFonts w:cstheme="minorHAnsi"/>
        </w:rPr>
        <w:t>. This generates</w:t>
      </w:r>
      <w:r w:rsidR="00064E79" w:rsidRPr="00FC5BD1">
        <w:rPr>
          <w:rFonts w:cstheme="minorHAnsi"/>
        </w:rPr>
        <w:t xml:space="preserve"> negative consequences </w:t>
      </w:r>
      <w:r w:rsidR="000F7EAB" w:rsidRPr="00FC5BD1">
        <w:rPr>
          <w:rFonts w:cstheme="minorHAnsi"/>
        </w:rPr>
        <w:t>to</w:t>
      </w:r>
      <w:r w:rsidR="00064E79" w:rsidRPr="00FC5BD1">
        <w:rPr>
          <w:rFonts w:cstheme="minorHAnsi"/>
        </w:rPr>
        <w:t xml:space="preserve"> producers who intend to direct efforts towards sustainable development, as they compete with producers without sustainable practices that achieve cheaper production (Luthra, Mangla, Xu &amp; </w:t>
      </w:r>
      <w:proofErr w:type="spellStart"/>
      <w:r w:rsidR="00064E79" w:rsidRPr="00FC5BD1">
        <w:rPr>
          <w:rFonts w:cstheme="minorHAnsi"/>
        </w:rPr>
        <w:t>Diabat</w:t>
      </w:r>
      <w:proofErr w:type="spellEnd"/>
      <w:r w:rsidR="00064E79" w:rsidRPr="00FC5BD1">
        <w:rPr>
          <w:rFonts w:cstheme="minorHAnsi"/>
        </w:rPr>
        <w:t xml:space="preserve">, </w:t>
      </w:r>
      <w:r w:rsidR="00064E79" w:rsidRPr="00FC5BD1">
        <w:rPr>
          <w:rFonts w:cstheme="minorHAnsi"/>
          <w:color w:val="C00000"/>
        </w:rPr>
        <w:t>2016</w:t>
      </w:r>
      <w:r w:rsidR="00064E79" w:rsidRPr="00FC5BD1">
        <w:rPr>
          <w:rFonts w:cstheme="minorHAnsi"/>
        </w:rPr>
        <w:t>).</w:t>
      </w:r>
    </w:p>
    <w:p w14:paraId="5EB671F3" w14:textId="67D224A6" w:rsidR="00064E79" w:rsidRPr="00FC5BD1" w:rsidRDefault="00064E79" w:rsidP="00FD2688">
      <w:pPr>
        <w:spacing w:after="240" w:line="360" w:lineRule="auto"/>
        <w:jc w:val="both"/>
        <w:rPr>
          <w:rFonts w:cstheme="minorHAnsi"/>
        </w:rPr>
      </w:pPr>
      <w:r w:rsidRPr="00FC5BD1">
        <w:rPr>
          <w:rFonts w:cstheme="minorHAnsi"/>
        </w:rPr>
        <w:t xml:space="preserve">Given the </w:t>
      </w:r>
      <w:r w:rsidR="000F7EAB" w:rsidRPr="00FC5BD1">
        <w:rPr>
          <w:rFonts w:cstheme="minorHAnsi"/>
        </w:rPr>
        <w:t>scarce</w:t>
      </w:r>
      <w:r w:rsidRPr="00FC5BD1">
        <w:rPr>
          <w:rFonts w:cstheme="minorHAnsi"/>
        </w:rPr>
        <w:t xml:space="preserve"> response from governments and companies, sustainable consumption emerges as a possible solution to reduce environmental and social deterioration, based on the awareness of the inhabitants (Trudel, </w:t>
      </w:r>
      <w:r w:rsidRPr="00FC5BD1">
        <w:rPr>
          <w:rFonts w:cstheme="minorHAnsi"/>
          <w:color w:val="C00000"/>
        </w:rPr>
        <w:t>2018</w:t>
      </w:r>
      <w:r w:rsidRPr="00FC5BD1">
        <w:rPr>
          <w:rFonts w:cstheme="minorHAnsi"/>
        </w:rPr>
        <w:t xml:space="preserve">) of developing countries. According to </w:t>
      </w:r>
      <w:r w:rsidRPr="00FC5BD1">
        <w:rPr>
          <w:rFonts w:cstheme="minorHAnsi"/>
        </w:rPr>
        <w:lastRenderedPageBreak/>
        <w:t>Jackson (</w:t>
      </w:r>
      <w:r w:rsidRPr="00FC5BD1">
        <w:rPr>
          <w:rFonts w:cstheme="minorHAnsi"/>
          <w:color w:val="C00000"/>
        </w:rPr>
        <w:t>2014</w:t>
      </w:r>
      <w:r w:rsidRPr="00FC5BD1">
        <w:rPr>
          <w:rFonts w:cstheme="minorHAnsi"/>
        </w:rPr>
        <w:t xml:space="preserve">, p. 254), sustainable consumption </w:t>
      </w:r>
      <w:r w:rsidR="00D23A1A" w:rsidRPr="00FC5BD1">
        <w:rPr>
          <w:rFonts w:cstheme="minorHAnsi"/>
        </w:rPr>
        <w:t>comprises</w:t>
      </w:r>
      <w:r w:rsidRPr="00FC5BD1">
        <w:rPr>
          <w:rFonts w:cstheme="minorHAnsi"/>
        </w:rPr>
        <w:t xml:space="preserve"> all the actions and choices that people make considering the direct and indirect impacts they have on the environment, social equity, and personal and collective well-being.</w:t>
      </w:r>
    </w:p>
    <w:p w14:paraId="6F36E56E" w14:textId="27A7CAB6" w:rsidR="00064E79" w:rsidRPr="00FC5BD1" w:rsidRDefault="000F7EAB" w:rsidP="00FD2688">
      <w:pPr>
        <w:spacing w:after="240" w:line="360" w:lineRule="auto"/>
        <w:jc w:val="both"/>
        <w:rPr>
          <w:rFonts w:cstheme="minorHAnsi"/>
        </w:rPr>
      </w:pPr>
      <w:r w:rsidRPr="00FC5BD1">
        <w:rPr>
          <w:rFonts w:cstheme="minorHAnsi"/>
        </w:rPr>
        <w:t>There is</w:t>
      </w:r>
      <w:r w:rsidR="00D23A1A" w:rsidRPr="00FC5BD1">
        <w:rPr>
          <w:rFonts w:cstheme="minorHAnsi"/>
        </w:rPr>
        <w:t xml:space="preserve"> </w:t>
      </w:r>
      <w:r w:rsidR="00064E79" w:rsidRPr="00FC5BD1">
        <w:rPr>
          <w:rFonts w:cstheme="minorHAnsi"/>
        </w:rPr>
        <w:t>some research address</w:t>
      </w:r>
      <w:r w:rsidRPr="00FC5BD1">
        <w:rPr>
          <w:rFonts w:cstheme="minorHAnsi"/>
        </w:rPr>
        <w:t>ing</w:t>
      </w:r>
      <w:r w:rsidR="00064E79" w:rsidRPr="00FC5BD1">
        <w:rPr>
          <w:rFonts w:cstheme="minorHAnsi"/>
        </w:rPr>
        <w:t xml:space="preserve"> the behavior towards sustainable consumption during the pandemic (Ali, Parveen, Yaacob, Zaini &amp; </w:t>
      </w:r>
      <w:proofErr w:type="spellStart"/>
      <w:r w:rsidR="00064E79" w:rsidRPr="00FC5BD1">
        <w:rPr>
          <w:rFonts w:cstheme="minorHAnsi"/>
        </w:rPr>
        <w:t>Sarbini</w:t>
      </w:r>
      <w:proofErr w:type="spellEnd"/>
      <w:r w:rsidR="00064E79" w:rsidRPr="00FC5BD1">
        <w:rPr>
          <w:rFonts w:cstheme="minorHAnsi"/>
        </w:rPr>
        <w:t xml:space="preserve">, </w:t>
      </w:r>
      <w:r w:rsidR="00064E79" w:rsidRPr="00FC5BD1">
        <w:rPr>
          <w:rFonts w:cstheme="minorHAnsi"/>
          <w:color w:val="C00000"/>
        </w:rPr>
        <w:t>2021</w:t>
      </w:r>
      <w:r w:rsidR="00064E79" w:rsidRPr="00FC5BD1">
        <w:rPr>
          <w:rFonts w:cstheme="minorHAnsi"/>
        </w:rPr>
        <w:t xml:space="preserve">; Cohen, </w:t>
      </w:r>
      <w:r w:rsidR="00064E79" w:rsidRPr="00FC5BD1">
        <w:rPr>
          <w:rFonts w:cstheme="minorHAnsi"/>
          <w:color w:val="C00000"/>
        </w:rPr>
        <w:t>2020</w:t>
      </w:r>
      <w:r w:rsidR="00064E79" w:rsidRPr="00FC5BD1">
        <w:rPr>
          <w:rFonts w:cstheme="minorHAnsi"/>
        </w:rPr>
        <w:t xml:space="preserve">; Severo, De Guimarães &amp; </w:t>
      </w:r>
      <w:proofErr w:type="spellStart"/>
      <w:r w:rsidR="00064E79" w:rsidRPr="00FC5BD1">
        <w:rPr>
          <w:rFonts w:cstheme="minorHAnsi"/>
        </w:rPr>
        <w:t>Dellarmelin</w:t>
      </w:r>
      <w:proofErr w:type="spellEnd"/>
      <w:r w:rsidR="00064E79" w:rsidRPr="00FC5BD1">
        <w:rPr>
          <w:rFonts w:cstheme="minorHAnsi"/>
        </w:rPr>
        <w:t xml:space="preserve">, </w:t>
      </w:r>
      <w:r w:rsidR="00064E79" w:rsidRPr="00FC5BD1">
        <w:rPr>
          <w:rFonts w:cstheme="minorHAnsi"/>
          <w:color w:val="C00000"/>
        </w:rPr>
        <w:t>2021</w:t>
      </w:r>
      <w:r w:rsidR="00064E79" w:rsidRPr="00FC5BD1">
        <w:rPr>
          <w:rFonts w:cstheme="minorHAnsi"/>
        </w:rPr>
        <w:t xml:space="preserve">) </w:t>
      </w:r>
      <w:r w:rsidRPr="00FC5BD1">
        <w:rPr>
          <w:rFonts w:cstheme="minorHAnsi"/>
        </w:rPr>
        <w:t xml:space="preserve">in which </w:t>
      </w:r>
      <w:r w:rsidR="00D23A1A" w:rsidRPr="00FC5BD1">
        <w:rPr>
          <w:rFonts w:cstheme="minorHAnsi"/>
        </w:rPr>
        <w:t>it was</w:t>
      </w:r>
      <w:r w:rsidR="00064E79" w:rsidRPr="00FC5BD1">
        <w:rPr>
          <w:rFonts w:cstheme="minorHAnsi"/>
        </w:rPr>
        <w:t xml:space="preserve"> </w:t>
      </w:r>
      <w:r w:rsidRPr="00FC5BD1">
        <w:rPr>
          <w:rFonts w:cstheme="minorHAnsi"/>
        </w:rPr>
        <w:t>found</w:t>
      </w:r>
      <w:r w:rsidR="00064E79" w:rsidRPr="00FC5BD1">
        <w:rPr>
          <w:rFonts w:cstheme="minorHAnsi"/>
        </w:rPr>
        <w:t xml:space="preserve"> that the population became more aware of physical health care, but also of the ecological and social environment. Castellini, Savarese &amp; Graffigna (</w:t>
      </w:r>
      <w:r w:rsidR="00064E79" w:rsidRPr="00FC5BD1">
        <w:rPr>
          <w:rFonts w:cstheme="minorHAnsi"/>
          <w:color w:val="C00000"/>
        </w:rPr>
        <w:t>2021</w:t>
      </w:r>
      <w:r w:rsidR="00064E79" w:rsidRPr="00FC5BD1">
        <w:rPr>
          <w:rFonts w:cstheme="minorHAnsi"/>
        </w:rPr>
        <w:t xml:space="preserve">) argue </w:t>
      </w:r>
      <w:r w:rsidR="009B1A8A" w:rsidRPr="00FC5BD1">
        <w:rPr>
          <w:rFonts w:cstheme="minorHAnsi"/>
        </w:rPr>
        <w:t>that</w:t>
      </w:r>
      <w:r w:rsidR="00D83B34" w:rsidRPr="00FC5BD1">
        <w:rPr>
          <w:rFonts w:cstheme="minorHAnsi"/>
        </w:rPr>
        <w:t xml:space="preserve"> the</w:t>
      </w:r>
      <w:r w:rsidR="00064E79" w:rsidRPr="00FC5BD1">
        <w:rPr>
          <w:rFonts w:cstheme="minorHAnsi"/>
        </w:rPr>
        <w:t xml:space="preserve"> psychological impact of the COVID-19 pandemic</w:t>
      </w:r>
      <w:r w:rsidRPr="00FC5BD1">
        <w:rPr>
          <w:rFonts w:cstheme="minorHAnsi"/>
        </w:rPr>
        <w:t>,</w:t>
      </w:r>
      <w:r w:rsidR="00064E79" w:rsidRPr="00FC5BD1">
        <w:rPr>
          <w:rFonts w:cstheme="minorHAnsi"/>
        </w:rPr>
        <w:t xml:space="preserve"> caused a significant change in consumer attitudes towards sustainability</w:t>
      </w:r>
      <w:r w:rsidRPr="00FC5BD1">
        <w:rPr>
          <w:rFonts w:cstheme="minorHAnsi"/>
        </w:rPr>
        <w:t xml:space="preserve"> in food</w:t>
      </w:r>
      <w:r w:rsidR="00064E79" w:rsidRPr="00FC5BD1">
        <w:rPr>
          <w:rFonts w:cstheme="minorHAnsi"/>
        </w:rPr>
        <w:t xml:space="preserve">, following a more sustainable diet in terms of health care and environmental preservation. Other studies have addressed sustainable consumption after the pandemic (Acuña-Moraga, Severino-González, Sarmiento-Peralta &amp; </w:t>
      </w:r>
      <w:proofErr w:type="spellStart"/>
      <w:r w:rsidR="00064E79" w:rsidRPr="00FC5BD1">
        <w:rPr>
          <w:rFonts w:cstheme="minorHAnsi"/>
        </w:rPr>
        <w:t>Stuardo</w:t>
      </w:r>
      <w:proofErr w:type="spellEnd"/>
      <w:r w:rsidR="00064E79" w:rsidRPr="00FC5BD1">
        <w:rPr>
          <w:rFonts w:cstheme="minorHAnsi"/>
        </w:rPr>
        <w:t xml:space="preserve">-Solar, </w:t>
      </w:r>
      <w:r w:rsidR="00064E79" w:rsidRPr="00FC5BD1">
        <w:rPr>
          <w:rFonts w:cstheme="minorHAnsi"/>
          <w:color w:val="C00000"/>
        </w:rPr>
        <w:t>2022</w:t>
      </w:r>
      <w:r w:rsidR="00064E79" w:rsidRPr="00FC5BD1">
        <w:rPr>
          <w:rFonts w:cstheme="minorHAnsi"/>
        </w:rPr>
        <w:t xml:space="preserve">; </w:t>
      </w:r>
      <w:r w:rsidR="001B6EBD" w:rsidRPr="00FC5BD1">
        <w:rPr>
          <w:rFonts w:cstheme="minorHAnsi"/>
        </w:rPr>
        <w:t>Peñalosa</w:t>
      </w:r>
      <w:r w:rsidR="00064E79" w:rsidRPr="00FC5BD1">
        <w:rPr>
          <w:rFonts w:cstheme="minorHAnsi"/>
        </w:rPr>
        <w:t xml:space="preserve">-Otero, López-Celis &amp; Martínez-Aguilar, </w:t>
      </w:r>
      <w:r w:rsidR="00064E79" w:rsidRPr="00FC5BD1">
        <w:rPr>
          <w:rFonts w:cstheme="minorHAnsi"/>
          <w:color w:val="C00000"/>
        </w:rPr>
        <w:t>2020</w:t>
      </w:r>
      <w:r w:rsidR="00064E79" w:rsidRPr="00FC5BD1">
        <w:rPr>
          <w:rFonts w:cstheme="minorHAnsi"/>
        </w:rPr>
        <w:t xml:space="preserve">; Peñalosa-Otero, López-Celis, Fischer-de la Vega &amp; Ortega-Vivanco, </w:t>
      </w:r>
      <w:r w:rsidR="00064E79" w:rsidRPr="00FC5BD1">
        <w:rPr>
          <w:rFonts w:cstheme="minorHAnsi"/>
          <w:color w:val="C00000"/>
        </w:rPr>
        <w:t>2021</w:t>
      </w:r>
      <w:r w:rsidR="00064E79" w:rsidRPr="00FC5BD1">
        <w:rPr>
          <w:rFonts w:cstheme="minorHAnsi"/>
        </w:rPr>
        <w:t xml:space="preserve">) obtaining findings on a positive intention of the population to acquire more sustainable habits, but which unfortunately do not materialize </w:t>
      </w:r>
      <w:r w:rsidRPr="00FC5BD1">
        <w:rPr>
          <w:rFonts w:cstheme="minorHAnsi"/>
        </w:rPr>
        <w:t>at the time of purchase</w:t>
      </w:r>
      <w:r w:rsidR="00064E79" w:rsidRPr="00FC5BD1">
        <w:rPr>
          <w:rFonts w:cstheme="minorHAnsi"/>
        </w:rPr>
        <w:t xml:space="preserve">. However, it is unknown </w:t>
      </w:r>
      <w:r w:rsidRPr="00FC5BD1">
        <w:rPr>
          <w:rFonts w:cstheme="minorHAnsi"/>
        </w:rPr>
        <w:t>whether</w:t>
      </w:r>
      <w:r w:rsidR="00064E79" w:rsidRPr="00FC5BD1">
        <w:rPr>
          <w:rFonts w:cstheme="minorHAnsi"/>
        </w:rPr>
        <w:t xml:space="preserve"> the intentions and good habits of more sustainable consumption acquired during the pandemic have remained after it.</w:t>
      </w:r>
    </w:p>
    <w:p w14:paraId="6E6E34FC" w14:textId="7457661F" w:rsidR="00064E79" w:rsidRPr="00FC5BD1" w:rsidRDefault="00064E79" w:rsidP="00FD2688">
      <w:pPr>
        <w:spacing w:after="240" w:line="360" w:lineRule="auto"/>
        <w:jc w:val="both"/>
        <w:rPr>
          <w:rFonts w:cstheme="minorHAnsi"/>
        </w:rPr>
      </w:pPr>
      <w:r w:rsidRPr="00FC5BD1">
        <w:rPr>
          <w:rFonts w:cstheme="minorHAnsi"/>
        </w:rPr>
        <w:t xml:space="preserve">On the other hand, it is convenient to </w:t>
      </w:r>
      <w:r w:rsidR="00890B66" w:rsidRPr="00FC5BD1">
        <w:rPr>
          <w:rFonts w:cstheme="minorHAnsi"/>
        </w:rPr>
        <w:t>carry out specific</w:t>
      </w:r>
      <w:r w:rsidRPr="00FC5BD1">
        <w:rPr>
          <w:rFonts w:cstheme="minorHAnsi"/>
        </w:rPr>
        <w:t xml:space="preserve"> </w:t>
      </w:r>
      <w:r w:rsidR="000D1014" w:rsidRPr="00FC5BD1">
        <w:rPr>
          <w:rFonts w:cstheme="minorHAnsi"/>
        </w:rPr>
        <w:t>studies</w:t>
      </w:r>
      <w:r w:rsidRPr="00FC5BD1">
        <w:rPr>
          <w:rFonts w:cstheme="minorHAnsi"/>
        </w:rPr>
        <w:t xml:space="preserve"> for each generation, since the drastic and accelerated changes that humanity has undergone in the last century have caused </w:t>
      </w:r>
      <w:r w:rsidR="00890B66" w:rsidRPr="00FC5BD1">
        <w:rPr>
          <w:rFonts w:cstheme="minorHAnsi"/>
        </w:rPr>
        <w:t>marked</w:t>
      </w:r>
      <w:r w:rsidRPr="00FC5BD1">
        <w:rPr>
          <w:rFonts w:cstheme="minorHAnsi"/>
        </w:rPr>
        <w:t xml:space="preserve"> gaps between generations</w:t>
      </w:r>
      <w:r w:rsidR="000D1014" w:rsidRPr="00FC5BD1">
        <w:rPr>
          <w:rFonts w:cstheme="minorHAnsi"/>
        </w:rPr>
        <w:t>. S</w:t>
      </w:r>
      <w:r w:rsidRPr="00FC5BD1">
        <w:rPr>
          <w:rFonts w:cstheme="minorHAnsi"/>
        </w:rPr>
        <w:t xml:space="preserve">pecific actions are required to raise </w:t>
      </w:r>
      <w:r w:rsidR="00890B66" w:rsidRPr="00FC5BD1">
        <w:rPr>
          <w:rFonts w:cstheme="minorHAnsi"/>
        </w:rPr>
        <w:t>awareness</w:t>
      </w:r>
      <w:r w:rsidRPr="00FC5BD1">
        <w:rPr>
          <w:rFonts w:cstheme="minorHAnsi"/>
        </w:rPr>
        <w:t xml:space="preserve"> </w:t>
      </w:r>
      <w:r w:rsidR="00890B66" w:rsidRPr="00FC5BD1">
        <w:rPr>
          <w:rFonts w:cstheme="minorHAnsi"/>
        </w:rPr>
        <w:t>of</w:t>
      </w:r>
      <w:r w:rsidRPr="00FC5BD1">
        <w:rPr>
          <w:rFonts w:cstheme="minorHAnsi"/>
        </w:rPr>
        <w:t xml:space="preserve"> </w:t>
      </w:r>
      <w:r w:rsidR="000D1014" w:rsidRPr="00FC5BD1">
        <w:rPr>
          <w:rFonts w:cstheme="minorHAnsi"/>
        </w:rPr>
        <w:t xml:space="preserve">more sustainable </w:t>
      </w:r>
      <w:r w:rsidRPr="00FC5BD1">
        <w:rPr>
          <w:rFonts w:cstheme="minorHAnsi"/>
        </w:rPr>
        <w:t xml:space="preserve">consumption, starting with the youngest, since they are the most environmental, </w:t>
      </w:r>
      <w:r w:rsidR="000D1014" w:rsidRPr="00FC5BD1">
        <w:rPr>
          <w:rFonts w:cstheme="minorHAnsi"/>
        </w:rPr>
        <w:t>social,</w:t>
      </w:r>
      <w:r w:rsidRPr="00FC5BD1">
        <w:rPr>
          <w:rFonts w:cstheme="minorHAnsi"/>
        </w:rPr>
        <w:t xml:space="preserve"> and economic </w:t>
      </w:r>
      <w:r w:rsidR="00890B66" w:rsidRPr="00FC5BD1">
        <w:rPr>
          <w:rFonts w:cstheme="minorHAnsi"/>
        </w:rPr>
        <w:t>conscious</w:t>
      </w:r>
      <w:r w:rsidRPr="00FC5BD1">
        <w:rPr>
          <w:rFonts w:cstheme="minorHAnsi"/>
        </w:rPr>
        <w:t xml:space="preserve"> (Dabija, Bejan &amp; Dinu, </w:t>
      </w:r>
      <w:r w:rsidRPr="00FC5BD1">
        <w:rPr>
          <w:rFonts w:cstheme="minorHAnsi"/>
          <w:color w:val="C00000"/>
        </w:rPr>
        <w:t>2019</w:t>
      </w:r>
      <w:r w:rsidRPr="00FC5BD1">
        <w:rPr>
          <w:rFonts w:cstheme="minorHAnsi"/>
        </w:rPr>
        <w:t>).</w:t>
      </w:r>
    </w:p>
    <w:p w14:paraId="65E40FB8" w14:textId="2FF16727" w:rsidR="00064E79" w:rsidRPr="00FC5BD1" w:rsidRDefault="00064E79" w:rsidP="00FD2688">
      <w:pPr>
        <w:spacing w:after="240" w:line="360" w:lineRule="auto"/>
        <w:jc w:val="both"/>
        <w:rPr>
          <w:rFonts w:cstheme="minorHAnsi"/>
        </w:rPr>
      </w:pPr>
      <w:r w:rsidRPr="00FC5BD1">
        <w:rPr>
          <w:rFonts w:cstheme="minorHAnsi"/>
        </w:rPr>
        <w:t xml:space="preserve">Generation Z or </w:t>
      </w:r>
      <w:r w:rsidR="00473127" w:rsidRPr="00FC5BD1">
        <w:rPr>
          <w:rFonts w:cstheme="minorHAnsi"/>
        </w:rPr>
        <w:t>C</w:t>
      </w:r>
      <w:r w:rsidRPr="00FC5BD1">
        <w:rPr>
          <w:rFonts w:cstheme="minorHAnsi"/>
        </w:rPr>
        <w:t xml:space="preserve">entennials, born between 2001 and 2010, are characterized by a high commitment to their environment (Cerem Business School, </w:t>
      </w:r>
      <w:r w:rsidRPr="00FC5BD1">
        <w:rPr>
          <w:rFonts w:cstheme="minorHAnsi"/>
          <w:color w:val="C00000"/>
        </w:rPr>
        <w:t>2020</w:t>
      </w:r>
      <w:r w:rsidRPr="00FC5BD1">
        <w:rPr>
          <w:rFonts w:cstheme="minorHAnsi"/>
        </w:rPr>
        <w:t xml:space="preserve">). However, it is unknown </w:t>
      </w:r>
      <w:r w:rsidR="00473127" w:rsidRPr="00FC5BD1">
        <w:rPr>
          <w:rFonts w:cstheme="minorHAnsi"/>
        </w:rPr>
        <w:t>whether</w:t>
      </w:r>
      <w:r w:rsidRPr="00FC5BD1">
        <w:rPr>
          <w:rFonts w:cstheme="minorHAnsi"/>
        </w:rPr>
        <w:t xml:space="preserve"> this trend </w:t>
      </w:r>
      <w:r w:rsidR="00473127" w:rsidRPr="00FC5BD1">
        <w:rPr>
          <w:rFonts w:cstheme="minorHAnsi"/>
        </w:rPr>
        <w:t>remains</w:t>
      </w:r>
      <w:r w:rsidRPr="00FC5BD1">
        <w:rPr>
          <w:rFonts w:cstheme="minorHAnsi"/>
        </w:rPr>
        <w:t xml:space="preserve"> in the new normal.</w:t>
      </w:r>
    </w:p>
    <w:p w14:paraId="3F501D12" w14:textId="632C72BA" w:rsidR="00064E79" w:rsidRPr="00FC5BD1" w:rsidRDefault="00064E79" w:rsidP="00FD2688">
      <w:pPr>
        <w:spacing w:after="240" w:line="360" w:lineRule="auto"/>
        <w:jc w:val="both"/>
        <w:rPr>
          <w:rFonts w:cstheme="minorHAnsi"/>
        </w:rPr>
      </w:pPr>
      <w:r w:rsidRPr="00FC5BD1">
        <w:rPr>
          <w:rFonts w:cstheme="minorHAnsi"/>
        </w:rPr>
        <w:lastRenderedPageBreak/>
        <w:t>Th</w:t>
      </w:r>
      <w:r w:rsidR="008F0FB4" w:rsidRPr="00FC5BD1">
        <w:rPr>
          <w:rFonts w:cstheme="minorHAnsi"/>
        </w:rPr>
        <w:t>e objective of this work is</w:t>
      </w:r>
      <w:r w:rsidRPr="00FC5BD1">
        <w:rPr>
          <w:rFonts w:cstheme="minorHAnsi"/>
        </w:rPr>
        <w:t xml:space="preserve"> to analyze the evolution of sustainable </w:t>
      </w:r>
      <w:r w:rsidR="00134D01" w:rsidRPr="00FC5BD1">
        <w:rPr>
          <w:rFonts w:cstheme="minorHAnsi"/>
        </w:rPr>
        <w:t xml:space="preserve">food </w:t>
      </w:r>
      <w:r w:rsidRPr="00FC5BD1">
        <w:rPr>
          <w:rFonts w:cstheme="minorHAnsi"/>
        </w:rPr>
        <w:t xml:space="preserve">consumption factors </w:t>
      </w:r>
      <w:r w:rsidR="008F0FB4" w:rsidRPr="00FC5BD1">
        <w:rPr>
          <w:rFonts w:cstheme="minorHAnsi"/>
        </w:rPr>
        <w:t>i</w:t>
      </w:r>
      <w:r w:rsidR="00134D01" w:rsidRPr="00FC5BD1">
        <w:rPr>
          <w:rFonts w:cstheme="minorHAnsi"/>
        </w:rPr>
        <w:t xml:space="preserve">n </w:t>
      </w:r>
      <w:proofErr w:type="gramStart"/>
      <w:r w:rsidR="00473127" w:rsidRPr="00FC5BD1">
        <w:rPr>
          <w:rFonts w:cstheme="minorHAnsi"/>
        </w:rPr>
        <w:t>C</w:t>
      </w:r>
      <w:r w:rsidR="00791226" w:rsidRPr="00FC5BD1">
        <w:rPr>
          <w:rFonts w:cstheme="minorHAnsi"/>
        </w:rPr>
        <w:t>entennials</w:t>
      </w:r>
      <w:proofErr w:type="gramEnd"/>
      <w:r w:rsidRPr="00FC5BD1">
        <w:rPr>
          <w:rFonts w:cstheme="minorHAnsi"/>
        </w:rPr>
        <w:t xml:space="preserve"> during and after the pandemic. For this</w:t>
      </w:r>
      <w:r w:rsidR="00473127" w:rsidRPr="00FC5BD1">
        <w:rPr>
          <w:rFonts w:cstheme="minorHAnsi"/>
        </w:rPr>
        <w:t xml:space="preserve"> purpose</w:t>
      </w:r>
      <w:r w:rsidRPr="00FC5BD1">
        <w:rPr>
          <w:rFonts w:cstheme="minorHAnsi"/>
        </w:rPr>
        <w:t xml:space="preserve">, an analysis of the Theory of Planned Behavior and its variables is presented as the theoretical axis of this work, where the research hypotheses are </w:t>
      </w:r>
      <w:r w:rsidR="00473127" w:rsidRPr="00FC5BD1">
        <w:rPr>
          <w:rFonts w:cstheme="minorHAnsi"/>
        </w:rPr>
        <w:t>presented</w:t>
      </w:r>
      <w:r w:rsidRPr="00FC5BD1">
        <w:rPr>
          <w:rFonts w:cstheme="minorHAnsi"/>
        </w:rPr>
        <w:t xml:space="preserve">. </w:t>
      </w:r>
      <w:r w:rsidR="00791226" w:rsidRPr="00FC5BD1">
        <w:rPr>
          <w:rFonts w:cstheme="minorHAnsi"/>
        </w:rPr>
        <w:t xml:space="preserve">It is followed by the </w:t>
      </w:r>
      <w:r w:rsidRPr="00FC5BD1">
        <w:rPr>
          <w:rFonts w:cstheme="minorHAnsi"/>
        </w:rPr>
        <w:t xml:space="preserve">methodology </w:t>
      </w:r>
      <w:r w:rsidR="00791226" w:rsidRPr="00FC5BD1">
        <w:rPr>
          <w:rFonts w:cstheme="minorHAnsi"/>
        </w:rPr>
        <w:t xml:space="preserve">section, </w:t>
      </w:r>
      <w:r w:rsidRPr="00FC5BD1">
        <w:rPr>
          <w:rFonts w:cstheme="minorHAnsi"/>
        </w:rPr>
        <w:t xml:space="preserve">the results obtained, </w:t>
      </w:r>
      <w:r w:rsidR="00791226" w:rsidRPr="00FC5BD1">
        <w:rPr>
          <w:rFonts w:cstheme="minorHAnsi"/>
        </w:rPr>
        <w:t xml:space="preserve">and </w:t>
      </w:r>
      <w:r w:rsidRPr="00FC5BD1">
        <w:rPr>
          <w:rFonts w:cstheme="minorHAnsi"/>
        </w:rPr>
        <w:t>the discussion contrast</w:t>
      </w:r>
      <w:r w:rsidR="00791226" w:rsidRPr="00FC5BD1">
        <w:rPr>
          <w:rFonts w:cstheme="minorHAnsi"/>
        </w:rPr>
        <w:t>ing</w:t>
      </w:r>
      <w:r w:rsidRPr="00FC5BD1">
        <w:rPr>
          <w:rFonts w:cstheme="minorHAnsi"/>
        </w:rPr>
        <w:t xml:space="preserve"> the findings of other studies</w:t>
      </w:r>
      <w:r w:rsidR="00791226" w:rsidRPr="00FC5BD1">
        <w:rPr>
          <w:rFonts w:cstheme="minorHAnsi"/>
        </w:rPr>
        <w:t>. Finally,</w:t>
      </w:r>
      <w:r w:rsidRPr="00FC5BD1">
        <w:rPr>
          <w:rFonts w:cstheme="minorHAnsi"/>
        </w:rPr>
        <w:t xml:space="preserve"> the conclusions and possible implications are shown.</w:t>
      </w:r>
    </w:p>
    <w:p w14:paraId="1E3F0537" w14:textId="29A1FE8E" w:rsidR="00064E79" w:rsidRPr="00FC5BD1" w:rsidRDefault="00CB0868" w:rsidP="00CB0868">
      <w:pPr>
        <w:pStyle w:val="Ttulo1"/>
        <w:numPr>
          <w:ilvl w:val="0"/>
          <w:numId w:val="2"/>
        </w:numPr>
        <w:spacing w:before="0" w:after="0"/>
        <w:rPr>
          <w:rFonts w:cstheme="minorHAnsi"/>
          <w:b w:val="0"/>
          <w:bCs/>
        </w:rPr>
      </w:pPr>
      <w:r w:rsidRPr="00FC5BD1">
        <w:rPr>
          <w:rFonts w:cstheme="minorHAnsi"/>
          <w:bCs/>
        </w:rPr>
        <w:t>Theoretical reference framework</w:t>
      </w:r>
    </w:p>
    <w:p w14:paraId="1A3289B1" w14:textId="52270F59" w:rsidR="00064E79" w:rsidRPr="00FC5BD1" w:rsidRDefault="00064E79" w:rsidP="00FD2688">
      <w:pPr>
        <w:spacing w:after="240" w:line="360" w:lineRule="auto"/>
        <w:jc w:val="both"/>
        <w:rPr>
          <w:rFonts w:cstheme="minorHAnsi"/>
        </w:rPr>
      </w:pPr>
      <w:r w:rsidRPr="00FC5BD1">
        <w:rPr>
          <w:rFonts w:cstheme="minorHAnsi"/>
        </w:rPr>
        <w:t xml:space="preserve">The Theory of Planned Behavior explains that the conscious decisions of the individual determine </w:t>
      </w:r>
      <w:r w:rsidR="0046585D" w:rsidRPr="00FC5BD1">
        <w:rPr>
          <w:rFonts w:cstheme="minorHAnsi"/>
        </w:rPr>
        <w:t>his or her</w:t>
      </w:r>
      <w:r w:rsidRPr="00FC5BD1">
        <w:rPr>
          <w:rFonts w:cstheme="minorHAnsi"/>
        </w:rPr>
        <w:t xml:space="preserve"> behavior. The intention to </w:t>
      </w:r>
      <w:r w:rsidR="0046585D" w:rsidRPr="00FC5BD1">
        <w:rPr>
          <w:rFonts w:cstheme="minorHAnsi"/>
        </w:rPr>
        <w:t>perform</w:t>
      </w:r>
      <w:r w:rsidRPr="00FC5BD1">
        <w:rPr>
          <w:rFonts w:cstheme="minorHAnsi"/>
        </w:rPr>
        <w:t xml:space="preserve"> that behavior is determined by three components: attitude toward the behavior, subjective norms, and perceived behavioral control (Ajzen, </w:t>
      </w:r>
      <w:r w:rsidRPr="00FC5BD1">
        <w:rPr>
          <w:rFonts w:cstheme="minorHAnsi"/>
          <w:color w:val="C00000"/>
        </w:rPr>
        <w:t>1991</w:t>
      </w:r>
      <w:r w:rsidRPr="00FC5BD1">
        <w:rPr>
          <w:rFonts w:cstheme="minorHAnsi"/>
        </w:rPr>
        <w:t>).</w:t>
      </w:r>
    </w:p>
    <w:p w14:paraId="1EB275B1" w14:textId="17255200" w:rsidR="00064E79" w:rsidRPr="00FC5BD1" w:rsidRDefault="00064E79" w:rsidP="00FD2688">
      <w:pPr>
        <w:spacing w:after="240" w:line="360" w:lineRule="auto"/>
        <w:jc w:val="both"/>
        <w:rPr>
          <w:rFonts w:cstheme="minorHAnsi"/>
        </w:rPr>
      </w:pPr>
      <w:r w:rsidRPr="00FC5BD1">
        <w:rPr>
          <w:rFonts w:cstheme="minorHAnsi"/>
        </w:rPr>
        <w:t xml:space="preserve">This theory has been widely used to understand the phenomenon of sustainable behavior and the variables involved, but other factors continue to be reviewed (Han &amp; Stoel, </w:t>
      </w:r>
      <w:r w:rsidRPr="00FC5BD1">
        <w:rPr>
          <w:rFonts w:cstheme="minorHAnsi"/>
          <w:color w:val="C00000"/>
        </w:rPr>
        <w:t>2017</w:t>
      </w:r>
      <w:r w:rsidRPr="00FC5BD1">
        <w:rPr>
          <w:rFonts w:cstheme="minorHAnsi"/>
        </w:rPr>
        <w:t>), such as a study c</w:t>
      </w:r>
      <w:r w:rsidR="00733876" w:rsidRPr="00FC5BD1">
        <w:rPr>
          <w:rFonts w:cstheme="minorHAnsi"/>
        </w:rPr>
        <w:t>onducted</w:t>
      </w:r>
      <w:r w:rsidRPr="00FC5BD1">
        <w:rPr>
          <w:rFonts w:cstheme="minorHAnsi"/>
        </w:rPr>
        <w:t xml:space="preserve"> in Turkey, where they found that concern for the environment, altruism </w:t>
      </w:r>
      <w:r w:rsidR="00733876" w:rsidRPr="00FC5BD1">
        <w:rPr>
          <w:rFonts w:cstheme="minorHAnsi"/>
        </w:rPr>
        <w:t>shown by individuals</w:t>
      </w:r>
      <w:r w:rsidRPr="00FC5BD1">
        <w:rPr>
          <w:rFonts w:cstheme="minorHAnsi"/>
        </w:rPr>
        <w:t xml:space="preserve"> and the perceived behavioral control have significant effects on sustainable consumption (</w:t>
      </w:r>
      <w:proofErr w:type="spellStart"/>
      <w:r w:rsidRPr="00FC5BD1">
        <w:rPr>
          <w:rFonts w:cstheme="minorHAnsi"/>
        </w:rPr>
        <w:t>Yarimoglu</w:t>
      </w:r>
      <w:proofErr w:type="spellEnd"/>
      <w:r w:rsidRPr="00FC5BD1">
        <w:rPr>
          <w:rFonts w:cstheme="minorHAnsi"/>
        </w:rPr>
        <w:t xml:space="preserve"> &amp; </w:t>
      </w:r>
      <w:proofErr w:type="spellStart"/>
      <w:r w:rsidRPr="00FC5BD1">
        <w:rPr>
          <w:rFonts w:cstheme="minorHAnsi"/>
        </w:rPr>
        <w:t>Binbog</w:t>
      </w:r>
      <w:proofErr w:type="spellEnd"/>
      <w:r w:rsidRPr="00FC5BD1">
        <w:rPr>
          <w:rFonts w:cstheme="minorHAnsi"/>
        </w:rPr>
        <w:t xml:space="preserve">, </w:t>
      </w:r>
      <w:r w:rsidRPr="00FC5BD1">
        <w:rPr>
          <w:rFonts w:cstheme="minorHAnsi"/>
          <w:color w:val="C00000"/>
        </w:rPr>
        <w:t>2019</w:t>
      </w:r>
      <w:r w:rsidRPr="00FC5BD1">
        <w:rPr>
          <w:rFonts w:cstheme="minorHAnsi"/>
        </w:rPr>
        <w:t>).</w:t>
      </w:r>
    </w:p>
    <w:p w14:paraId="50C85690" w14:textId="3CA22CA9" w:rsidR="00064E79" w:rsidRPr="00FC5BD1" w:rsidRDefault="00064E79" w:rsidP="00FD2688">
      <w:pPr>
        <w:spacing w:after="240" w:line="360" w:lineRule="auto"/>
        <w:jc w:val="both"/>
        <w:rPr>
          <w:rFonts w:cstheme="minorHAnsi"/>
        </w:rPr>
      </w:pPr>
      <w:r w:rsidRPr="00FC5BD1">
        <w:rPr>
          <w:rFonts w:cstheme="minorHAnsi"/>
        </w:rPr>
        <w:t xml:space="preserve">However, the variables that make up the original model have proven </w:t>
      </w:r>
      <w:r w:rsidR="00733876" w:rsidRPr="00FC5BD1">
        <w:rPr>
          <w:rFonts w:cstheme="minorHAnsi"/>
        </w:rPr>
        <w:t>to be effective</w:t>
      </w:r>
      <w:r w:rsidRPr="00FC5BD1">
        <w:rPr>
          <w:rFonts w:cstheme="minorHAnsi"/>
        </w:rPr>
        <w:t xml:space="preserve"> in explaining the variability of sustainable behavior (Hosta &amp; Zabkar, </w:t>
      </w:r>
      <w:r w:rsidRPr="00FC5BD1">
        <w:rPr>
          <w:rFonts w:cstheme="minorHAnsi"/>
          <w:color w:val="C00000"/>
        </w:rPr>
        <w:t>2021</w:t>
      </w:r>
      <w:r w:rsidRPr="00FC5BD1">
        <w:rPr>
          <w:rFonts w:cstheme="minorHAnsi"/>
        </w:rPr>
        <w:t>).</w:t>
      </w:r>
    </w:p>
    <w:p w14:paraId="7B516E7B" w14:textId="7A7BE600" w:rsidR="00064E79" w:rsidRPr="00FC5BD1" w:rsidRDefault="00064E79" w:rsidP="00FD2688">
      <w:pPr>
        <w:spacing w:after="240" w:line="360" w:lineRule="auto"/>
        <w:jc w:val="both"/>
        <w:rPr>
          <w:rFonts w:cstheme="minorHAnsi"/>
          <w:b/>
          <w:bCs/>
        </w:rPr>
      </w:pPr>
      <w:r w:rsidRPr="00FC5BD1">
        <w:rPr>
          <w:rFonts w:cstheme="minorHAnsi"/>
          <w:b/>
          <w:bCs/>
        </w:rPr>
        <w:t xml:space="preserve">Attitude towards </w:t>
      </w:r>
      <w:proofErr w:type="gramStart"/>
      <w:r w:rsidRPr="00FC5BD1">
        <w:rPr>
          <w:rFonts w:cstheme="minorHAnsi"/>
          <w:b/>
          <w:bCs/>
        </w:rPr>
        <w:t>re</w:t>
      </w:r>
      <w:r w:rsidR="00AB69C5" w:rsidRPr="00FC5BD1">
        <w:rPr>
          <w:rFonts w:cstheme="minorHAnsi"/>
          <w:b/>
          <w:bCs/>
        </w:rPr>
        <w:t>d</w:t>
      </w:r>
      <w:r w:rsidRPr="00FC5BD1">
        <w:rPr>
          <w:rFonts w:cstheme="minorHAnsi"/>
          <w:b/>
          <w:bCs/>
        </w:rPr>
        <w:t>u</w:t>
      </w:r>
      <w:r w:rsidR="00AB69C5" w:rsidRPr="00FC5BD1">
        <w:rPr>
          <w:rFonts w:cstheme="minorHAnsi"/>
          <w:b/>
          <w:bCs/>
        </w:rPr>
        <w:t>c</w:t>
      </w:r>
      <w:r w:rsidRPr="00FC5BD1">
        <w:rPr>
          <w:rFonts w:cstheme="minorHAnsi"/>
          <w:b/>
          <w:bCs/>
        </w:rPr>
        <w:t>e</w:t>
      </w:r>
      <w:proofErr w:type="gramEnd"/>
      <w:r w:rsidRPr="00FC5BD1">
        <w:rPr>
          <w:rFonts w:cstheme="minorHAnsi"/>
          <w:b/>
          <w:bCs/>
        </w:rPr>
        <w:t xml:space="preserve">, </w:t>
      </w:r>
      <w:r w:rsidR="002427F4" w:rsidRPr="00FC5BD1">
        <w:rPr>
          <w:rFonts w:cstheme="minorHAnsi"/>
          <w:b/>
          <w:bCs/>
        </w:rPr>
        <w:t>re</w:t>
      </w:r>
      <w:r w:rsidR="00AB69C5" w:rsidRPr="00FC5BD1">
        <w:rPr>
          <w:rFonts w:cstheme="minorHAnsi"/>
          <w:b/>
          <w:bCs/>
        </w:rPr>
        <w:t>use</w:t>
      </w:r>
      <w:r w:rsidR="002427F4" w:rsidRPr="00FC5BD1">
        <w:rPr>
          <w:rFonts w:cstheme="minorHAnsi"/>
          <w:b/>
          <w:bCs/>
        </w:rPr>
        <w:t>,</w:t>
      </w:r>
      <w:r w:rsidRPr="00FC5BD1">
        <w:rPr>
          <w:rFonts w:cstheme="minorHAnsi"/>
          <w:b/>
          <w:bCs/>
        </w:rPr>
        <w:t xml:space="preserve"> and recycl</w:t>
      </w:r>
      <w:r w:rsidR="00AB69C5" w:rsidRPr="00FC5BD1">
        <w:rPr>
          <w:rFonts w:cstheme="minorHAnsi"/>
          <w:b/>
          <w:bCs/>
        </w:rPr>
        <w:t>e</w:t>
      </w:r>
    </w:p>
    <w:p w14:paraId="2CC777F3" w14:textId="67E8E048" w:rsidR="00064E79" w:rsidRPr="00FC5BD1" w:rsidRDefault="00EA3305" w:rsidP="00FD2688">
      <w:pPr>
        <w:spacing w:after="240" w:line="360" w:lineRule="auto"/>
        <w:jc w:val="both"/>
        <w:rPr>
          <w:rFonts w:cstheme="minorHAnsi"/>
        </w:rPr>
      </w:pPr>
      <w:r w:rsidRPr="00FC5BD1">
        <w:rPr>
          <w:rFonts w:cstheme="minorHAnsi"/>
        </w:rPr>
        <w:t xml:space="preserve">In general, attitudes towards behavior are given by the </w:t>
      </w:r>
      <w:r w:rsidR="002D21B0" w:rsidRPr="00FC5BD1">
        <w:rPr>
          <w:rFonts w:cstheme="minorHAnsi"/>
        </w:rPr>
        <w:t>valuation</w:t>
      </w:r>
      <w:r w:rsidRPr="00FC5BD1">
        <w:rPr>
          <w:rFonts w:cstheme="minorHAnsi"/>
        </w:rPr>
        <w:t xml:space="preserve"> of the action, which is </w:t>
      </w:r>
      <w:r w:rsidR="002D21B0" w:rsidRPr="00FC5BD1">
        <w:rPr>
          <w:rFonts w:cstheme="minorHAnsi"/>
        </w:rPr>
        <w:t>integrated by</w:t>
      </w:r>
      <w:r w:rsidRPr="00FC5BD1">
        <w:rPr>
          <w:rFonts w:cstheme="minorHAnsi"/>
        </w:rPr>
        <w:t xml:space="preserve"> th</w:t>
      </w:r>
      <w:r w:rsidR="002D21B0" w:rsidRPr="00FC5BD1">
        <w:rPr>
          <w:rFonts w:cstheme="minorHAnsi"/>
        </w:rPr>
        <w:t>e</w:t>
      </w:r>
      <w:r w:rsidRPr="00FC5BD1">
        <w:rPr>
          <w:rFonts w:cstheme="minorHAnsi"/>
        </w:rPr>
        <w:t xml:space="preserve"> set of beliefs and opinions</w:t>
      </w:r>
      <w:r w:rsidR="002D21B0" w:rsidRPr="00FC5BD1">
        <w:rPr>
          <w:rFonts w:cstheme="minorHAnsi"/>
        </w:rPr>
        <w:t xml:space="preserve"> of the individual</w:t>
      </w:r>
      <w:r w:rsidRPr="00FC5BD1">
        <w:rPr>
          <w:rFonts w:cstheme="minorHAnsi"/>
        </w:rPr>
        <w:t xml:space="preserve"> (Ajzen, </w:t>
      </w:r>
      <w:r w:rsidRPr="00FC5BD1">
        <w:rPr>
          <w:rFonts w:cstheme="minorHAnsi"/>
          <w:color w:val="C00000"/>
        </w:rPr>
        <w:t>1991</w:t>
      </w:r>
      <w:r w:rsidRPr="00FC5BD1">
        <w:rPr>
          <w:rFonts w:cstheme="minorHAnsi"/>
        </w:rPr>
        <w:t xml:space="preserve">). For this study, it refers to the disposition, </w:t>
      </w:r>
      <w:r w:rsidR="00273C8E" w:rsidRPr="00FC5BD1">
        <w:rPr>
          <w:rFonts w:cstheme="minorHAnsi"/>
        </w:rPr>
        <w:t>beliefs,</w:t>
      </w:r>
      <w:r w:rsidRPr="00FC5BD1">
        <w:rPr>
          <w:rFonts w:cstheme="minorHAnsi"/>
        </w:rPr>
        <w:t xml:space="preserve"> and opinions about the importance of reducing, </w:t>
      </w:r>
      <w:r w:rsidR="00043295" w:rsidRPr="00FC5BD1">
        <w:rPr>
          <w:rFonts w:cstheme="minorHAnsi"/>
        </w:rPr>
        <w:t>reusing,</w:t>
      </w:r>
      <w:r w:rsidRPr="00FC5BD1">
        <w:rPr>
          <w:rFonts w:cstheme="minorHAnsi"/>
        </w:rPr>
        <w:t xml:space="preserve"> and recycling (RRR).</w:t>
      </w:r>
    </w:p>
    <w:p w14:paraId="0CA8A208" w14:textId="0212B4D2" w:rsidR="00EA3305" w:rsidRPr="00FC5BD1" w:rsidRDefault="00273C8E" w:rsidP="00FD2688">
      <w:pPr>
        <w:spacing w:after="240" w:line="360" w:lineRule="auto"/>
        <w:jc w:val="both"/>
        <w:rPr>
          <w:rFonts w:cstheme="minorHAnsi"/>
        </w:rPr>
      </w:pPr>
      <w:r w:rsidRPr="00FC5BD1">
        <w:rPr>
          <w:rFonts w:cstheme="minorHAnsi"/>
        </w:rPr>
        <w:lastRenderedPageBreak/>
        <w:t>Those</w:t>
      </w:r>
      <w:r w:rsidR="00EA3305" w:rsidRPr="00FC5BD1">
        <w:rPr>
          <w:rFonts w:cstheme="minorHAnsi"/>
        </w:rPr>
        <w:t xml:space="preserve"> of </w:t>
      </w:r>
      <w:r w:rsidR="002D21B0" w:rsidRPr="00FC5BD1">
        <w:rPr>
          <w:rFonts w:cstheme="minorHAnsi"/>
        </w:rPr>
        <w:t>G</w:t>
      </w:r>
      <w:r w:rsidR="00EA3305" w:rsidRPr="00FC5BD1">
        <w:rPr>
          <w:rFonts w:cstheme="minorHAnsi"/>
        </w:rPr>
        <w:t xml:space="preserve">eneration Z are distinguished by having a high degree of responsibility for </w:t>
      </w:r>
      <w:r w:rsidR="002D21B0" w:rsidRPr="00FC5BD1">
        <w:rPr>
          <w:rFonts w:cstheme="minorHAnsi"/>
        </w:rPr>
        <w:t>the care of</w:t>
      </w:r>
      <w:r w:rsidR="00EA3305" w:rsidRPr="00FC5BD1">
        <w:rPr>
          <w:rFonts w:cstheme="minorHAnsi"/>
        </w:rPr>
        <w:t xml:space="preserve"> the planet (Cerem Business School, </w:t>
      </w:r>
      <w:r w:rsidR="00EA3305" w:rsidRPr="00FC5BD1">
        <w:rPr>
          <w:rFonts w:cstheme="minorHAnsi"/>
          <w:color w:val="C00000"/>
        </w:rPr>
        <w:t>2020</w:t>
      </w:r>
      <w:r w:rsidR="00EA3305" w:rsidRPr="00FC5BD1">
        <w:rPr>
          <w:rFonts w:cstheme="minorHAnsi"/>
        </w:rPr>
        <w:t xml:space="preserve">). They are familiar with </w:t>
      </w:r>
      <w:r w:rsidR="002D21B0" w:rsidRPr="00FC5BD1">
        <w:rPr>
          <w:rFonts w:cstheme="minorHAnsi"/>
        </w:rPr>
        <w:t xml:space="preserve">the </w:t>
      </w:r>
      <w:r w:rsidR="00EA3305" w:rsidRPr="00FC5BD1">
        <w:rPr>
          <w:rFonts w:cstheme="minorHAnsi"/>
        </w:rPr>
        <w:t xml:space="preserve">RRR culture because they have heard the term since they were born, </w:t>
      </w:r>
      <w:r w:rsidR="003E4ED2" w:rsidRPr="00FC5BD1">
        <w:rPr>
          <w:rFonts w:cstheme="minorHAnsi"/>
        </w:rPr>
        <w:t>thus</w:t>
      </w:r>
      <w:r w:rsidR="00EA3305" w:rsidRPr="00FC5BD1">
        <w:rPr>
          <w:rFonts w:cstheme="minorHAnsi"/>
        </w:rPr>
        <w:t xml:space="preserve"> they </w:t>
      </w:r>
      <w:r w:rsidR="003E4ED2" w:rsidRPr="00FC5BD1">
        <w:rPr>
          <w:rFonts w:cstheme="minorHAnsi"/>
        </w:rPr>
        <w:t>have a greater orientation towards</w:t>
      </w:r>
      <w:r w:rsidR="00EA3305" w:rsidRPr="00FC5BD1">
        <w:rPr>
          <w:rFonts w:cstheme="minorHAnsi"/>
        </w:rPr>
        <w:t xml:space="preserve"> sustainability than previous generations (Dabija, et al. </w:t>
      </w:r>
      <w:r w:rsidR="00EA3305" w:rsidRPr="00FC5BD1">
        <w:rPr>
          <w:rFonts w:cstheme="minorHAnsi"/>
          <w:color w:val="C00000"/>
        </w:rPr>
        <w:t>2019</w:t>
      </w:r>
      <w:r w:rsidR="00EA3305" w:rsidRPr="00FC5BD1">
        <w:rPr>
          <w:rFonts w:cstheme="minorHAnsi"/>
        </w:rPr>
        <w:t xml:space="preserve">). Therefore, hypothesis 1 of this </w:t>
      </w:r>
      <w:r w:rsidR="003E4ED2" w:rsidRPr="00FC5BD1">
        <w:rPr>
          <w:rFonts w:cstheme="minorHAnsi"/>
        </w:rPr>
        <w:t>paper</w:t>
      </w:r>
      <w:r w:rsidR="00EA3305" w:rsidRPr="00FC5BD1">
        <w:rPr>
          <w:rFonts w:cstheme="minorHAnsi"/>
        </w:rPr>
        <w:t xml:space="preserve"> is:</w:t>
      </w:r>
    </w:p>
    <w:p w14:paraId="6A35D267" w14:textId="1ADA6339" w:rsidR="00EA3305" w:rsidRPr="00FC5BD1" w:rsidRDefault="00EA3305" w:rsidP="00BE350B">
      <w:pPr>
        <w:spacing w:after="240" w:line="360" w:lineRule="auto"/>
        <w:jc w:val="both"/>
        <w:rPr>
          <w:rFonts w:cstheme="minorHAnsi"/>
          <w:i/>
          <w:iCs/>
        </w:rPr>
      </w:pPr>
      <w:r w:rsidRPr="00FC5BD1">
        <w:rPr>
          <w:rFonts w:cstheme="minorHAnsi"/>
          <w:i/>
          <w:iCs/>
        </w:rPr>
        <w:t>H</w:t>
      </w:r>
      <w:r w:rsidR="00043295" w:rsidRPr="00FC5BD1">
        <w:rPr>
          <w:rFonts w:cstheme="minorHAnsi"/>
          <w:i/>
          <w:iCs/>
          <w:sz w:val="18"/>
          <w:szCs w:val="18"/>
        </w:rPr>
        <w:t>1</w:t>
      </w:r>
      <w:r w:rsidRPr="00FC5BD1">
        <w:rPr>
          <w:rFonts w:cstheme="minorHAnsi"/>
          <w:i/>
          <w:iCs/>
        </w:rPr>
        <w:t xml:space="preserve">: </w:t>
      </w:r>
      <w:r w:rsidR="003E4ED2" w:rsidRPr="00FC5BD1">
        <w:rPr>
          <w:rFonts w:cstheme="minorHAnsi"/>
          <w:i/>
          <w:iCs/>
        </w:rPr>
        <w:t>A</w:t>
      </w:r>
      <w:r w:rsidRPr="00FC5BD1">
        <w:rPr>
          <w:rFonts w:cstheme="minorHAnsi"/>
          <w:i/>
          <w:iCs/>
        </w:rPr>
        <w:t xml:space="preserve">ttitude towards RRR of </w:t>
      </w:r>
      <w:r w:rsidR="00EB05CD" w:rsidRPr="00FC5BD1">
        <w:rPr>
          <w:rFonts w:cstheme="minorHAnsi"/>
          <w:i/>
          <w:iCs/>
        </w:rPr>
        <w:t>Gen</w:t>
      </w:r>
      <w:r w:rsidRPr="00FC5BD1">
        <w:rPr>
          <w:rFonts w:cstheme="minorHAnsi"/>
          <w:i/>
          <w:iCs/>
        </w:rPr>
        <w:t xml:space="preserve"> Z is significant in the explained variance of sustainable consumption during and after the pandemic.</w:t>
      </w:r>
    </w:p>
    <w:p w14:paraId="29E96D55" w14:textId="7B141258" w:rsidR="00EA3305" w:rsidRPr="00FC5BD1" w:rsidRDefault="00EA3305" w:rsidP="00BE350B">
      <w:pPr>
        <w:spacing w:after="240" w:line="360" w:lineRule="auto"/>
        <w:jc w:val="both"/>
        <w:rPr>
          <w:rFonts w:cstheme="minorHAnsi"/>
          <w:b/>
          <w:bCs/>
        </w:rPr>
      </w:pPr>
      <w:proofErr w:type="spellStart"/>
      <w:r w:rsidRPr="00FC5BD1">
        <w:rPr>
          <w:rFonts w:cstheme="minorHAnsi"/>
          <w:b/>
          <w:bCs/>
        </w:rPr>
        <w:t>Subjetive</w:t>
      </w:r>
      <w:proofErr w:type="spellEnd"/>
      <w:r w:rsidRPr="00FC5BD1">
        <w:rPr>
          <w:rFonts w:cstheme="minorHAnsi"/>
          <w:b/>
          <w:bCs/>
        </w:rPr>
        <w:t xml:space="preserve"> Norms</w:t>
      </w:r>
    </w:p>
    <w:p w14:paraId="1FFCADB4" w14:textId="6E0A3899" w:rsidR="00064E79" w:rsidRPr="00FC5BD1" w:rsidRDefault="00EA3305" w:rsidP="00BE350B">
      <w:pPr>
        <w:spacing w:after="240" w:line="360" w:lineRule="auto"/>
        <w:jc w:val="both"/>
        <w:rPr>
          <w:rFonts w:cstheme="minorHAnsi"/>
        </w:rPr>
      </w:pPr>
      <w:r w:rsidRPr="00FC5BD1">
        <w:rPr>
          <w:rFonts w:cstheme="minorHAnsi"/>
        </w:rPr>
        <w:t xml:space="preserve">The second variable that </w:t>
      </w:r>
      <w:proofErr w:type="spellStart"/>
      <w:r w:rsidRPr="00FC5BD1">
        <w:rPr>
          <w:rFonts w:cstheme="minorHAnsi"/>
        </w:rPr>
        <w:t>Azjen</w:t>
      </w:r>
      <w:proofErr w:type="spellEnd"/>
      <w:r w:rsidRPr="00FC5BD1">
        <w:rPr>
          <w:rFonts w:cstheme="minorHAnsi"/>
        </w:rPr>
        <w:t xml:space="preserve"> (</w:t>
      </w:r>
      <w:r w:rsidRPr="00FC5BD1">
        <w:rPr>
          <w:rFonts w:cstheme="minorHAnsi"/>
          <w:color w:val="C00000"/>
        </w:rPr>
        <w:t>1991</w:t>
      </w:r>
      <w:r w:rsidRPr="00FC5BD1">
        <w:rPr>
          <w:rFonts w:cstheme="minorHAnsi"/>
        </w:rPr>
        <w:t>) consider</w:t>
      </w:r>
      <w:r w:rsidR="007541A8" w:rsidRPr="00FC5BD1">
        <w:rPr>
          <w:rFonts w:cstheme="minorHAnsi"/>
        </w:rPr>
        <w:t>s</w:t>
      </w:r>
      <w:r w:rsidRPr="00FC5BD1">
        <w:rPr>
          <w:rFonts w:cstheme="minorHAnsi"/>
        </w:rPr>
        <w:t xml:space="preserve"> in the Theory of Planned Behavior refers to the subjective norms that morally govern the actions of individual</w:t>
      </w:r>
      <w:r w:rsidR="008459EE" w:rsidRPr="00FC5BD1">
        <w:rPr>
          <w:rFonts w:cstheme="minorHAnsi"/>
        </w:rPr>
        <w:t>s</w:t>
      </w:r>
      <w:r w:rsidRPr="00FC5BD1">
        <w:rPr>
          <w:rFonts w:cstheme="minorHAnsi"/>
        </w:rPr>
        <w:t xml:space="preserve">. They are regulated by </w:t>
      </w:r>
      <w:r w:rsidR="00043295" w:rsidRPr="00FC5BD1">
        <w:rPr>
          <w:rFonts w:cstheme="minorHAnsi"/>
        </w:rPr>
        <w:t xml:space="preserve">the </w:t>
      </w:r>
      <w:r w:rsidRPr="00FC5BD1">
        <w:rPr>
          <w:rFonts w:cstheme="minorHAnsi"/>
        </w:rPr>
        <w:t>personal conscience</w:t>
      </w:r>
      <w:r w:rsidR="008459EE" w:rsidRPr="00FC5BD1">
        <w:rPr>
          <w:rFonts w:cstheme="minorHAnsi"/>
        </w:rPr>
        <w:t xml:space="preserve"> to act</w:t>
      </w:r>
      <w:r w:rsidRPr="00FC5BD1">
        <w:rPr>
          <w:rFonts w:cstheme="minorHAnsi"/>
        </w:rPr>
        <w:t xml:space="preserve"> </w:t>
      </w:r>
      <w:r w:rsidR="007541A8" w:rsidRPr="00FC5BD1">
        <w:rPr>
          <w:rFonts w:cstheme="minorHAnsi"/>
        </w:rPr>
        <w:t>in the right way</w:t>
      </w:r>
      <w:r w:rsidRPr="00FC5BD1">
        <w:rPr>
          <w:rFonts w:cstheme="minorHAnsi"/>
        </w:rPr>
        <w:t xml:space="preserve">, but also by the social pressure </w:t>
      </w:r>
      <w:r w:rsidR="008459EE" w:rsidRPr="00FC5BD1">
        <w:rPr>
          <w:rFonts w:cstheme="minorHAnsi"/>
        </w:rPr>
        <w:t>from</w:t>
      </w:r>
      <w:r w:rsidRPr="00FC5BD1">
        <w:rPr>
          <w:rFonts w:cstheme="minorHAnsi"/>
        </w:rPr>
        <w:t xml:space="preserve"> people in the immediate </w:t>
      </w:r>
      <w:r w:rsidR="008459EE" w:rsidRPr="00FC5BD1">
        <w:rPr>
          <w:rFonts w:cstheme="minorHAnsi"/>
        </w:rPr>
        <w:t>environment</w:t>
      </w:r>
      <w:r w:rsidRPr="00FC5BD1">
        <w:rPr>
          <w:rFonts w:cstheme="minorHAnsi"/>
        </w:rPr>
        <w:t xml:space="preserve"> of the individual. For Bamberg and </w:t>
      </w:r>
      <w:proofErr w:type="spellStart"/>
      <w:r w:rsidRPr="00FC5BD1">
        <w:rPr>
          <w:rFonts w:cstheme="minorHAnsi"/>
        </w:rPr>
        <w:t>Möser</w:t>
      </w:r>
      <w:proofErr w:type="spellEnd"/>
      <w:r w:rsidRPr="00FC5BD1">
        <w:rPr>
          <w:rFonts w:cstheme="minorHAnsi"/>
        </w:rPr>
        <w:t xml:space="preserve"> (</w:t>
      </w:r>
      <w:r w:rsidRPr="00FC5BD1">
        <w:rPr>
          <w:rFonts w:cstheme="minorHAnsi"/>
          <w:color w:val="C00000"/>
        </w:rPr>
        <w:t>2007</w:t>
      </w:r>
      <w:r w:rsidRPr="00FC5BD1">
        <w:rPr>
          <w:rFonts w:cstheme="minorHAnsi"/>
        </w:rPr>
        <w:t xml:space="preserve">) this variable focuses to a greater extent on </w:t>
      </w:r>
      <w:r w:rsidR="008459EE" w:rsidRPr="00FC5BD1">
        <w:rPr>
          <w:rFonts w:cstheme="minorHAnsi"/>
        </w:rPr>
        <w:t>the recognition of</w:t>
      </w:r>
      <w:r w:rsidRPr="00FC5BD1">
        <w:rPr>
          <w:rFonts w:cstheme="minorHAnsi"/>
        </w:rPr>
        <w:t xml:space="preserve"> the effect of individual behavior on others (prosocial), therefore, it </w:t>
      </w:r>
      <w:r w:rsidR="00EE19A6" w:rsidRPr="00FC5BD1">
        <w:rPr>
          <w:rFonts w:cstheme="minorHAnsi"/>
        </w:rPr>
        <w:t>is of</w:t>
      </w:r>
      <w:r w:rsidRPr="00FC5BD1">
        <w:rPr>
          <w:rFonts w:cstheme="minorHAnsi"/>
        </w:rPr>
        <w:t xml:space="preserve"> great importance on sustainable consumption.</w:t>
      </w:r>
    </w:p>
    <w:p w14:paraId="0BDC56B3" w14:textId="2147DED7" w:rsidR="00EA3305" w:rsidRPr="00FC5BD1" w:rsidRDefault="00EA3305" w:rsidP="003C06D5">
      <w:pPr>
        <w:spacing w:after="240" w:line="360" w:lineRule="auto"/>
        <w:jc w:val="both"/>
        <w:rPr>
          <w:rFonts w:cstheme="minorHAnsi"/>
        </w:rPr>
      </w:pPr>
      <w:r w:rsidRPr="00FC5BD1">
        <w:rPr>
          <w:rFonts w:cstheme="minorHAnsi"/>
        </w:rPr>
        <w:t xml:space="preserve">Generation Z has shown a high degree of responsibility </w:t>
      </w:r>
      <w:r w:rsidR="008459EE" w:rsidRPr="00FC5BD1">
        <w:rPr>
          <w:rFonts w:cstheme="minorHAnsi"/>
        </w:rPr>
        <w:t>with the</w:t>
      </w:r>
      <w:r w:rsidRPr="00FC5BD1">
        <w:rPr>
          <w:rFonts w:cstheme="minorHAnsi"/>
        </w:rPr>
        <w:t xml:space="preserve"> car</w:t>
      </w:r>
      <w:r w:rsidR="008459EE" w:rsidRPr="00FC5BD1">
        <w:rPr>
          <w:rFonts w:cstheme="minorHAnsi"/>
        </w:rPr>
        <w:t>e of</w:t>
      </w:r>
      <w:r w:rsidRPr="00FC5BD1">
        <w:rPr>
          <w:rFonts w:cstheme="minorHAnsi"/>
        </w:rPr>
        <w:t xml:space="preserve"> the environment (Cerem Business School, </w:t>
      </w:r>
      <w:r w:rsidRPr="00FC5BD1">
        <w:rPr>
          <w:rFonts w:cstheme="minorHAnsi"/>
          <w:color w:val="C00000"/>
        </w:rPr>
        <w:t>2020</w:t>
      </w:r>
      <w:r w:rsidRPr="00FC5BD1">
        <w:rPr>
          <w:rFonts w:cstheme="minorHAnsi"/>
        </w:rPr>
        <w:t>), but they are also interested in sharing opinions with other people</w:t>
      </w:r>
      <w:r w:rsidR="008459EE" w:rsidRPr="00FC5BD1">
        <w:rPr>
          <w:rFonts w:cstheme="minorHAnsi"/>
        </w:rPr>
        <w:t xml:space="preserve"> about sustainable issues</w:t>
      </w:r>
      <w:r w:rsidRPr="00FC5BD1">
        <w:rPr>
          <w:rFonts w:cstheme="minorHAnsi"/>
        </w:rPr>
        <w:t xml:space="preserve">, </w:t>
      </w:r>
      <w:r w:rsidR="00EE19A6" w:rsidRPr="00FC5BD1">
        <w:rPr>
          <w:rFonts w:cstheme="minorHAnsi"/>
        </w:rPr>
        <w:t>mainly</w:t>
      </w:r>
      <w:r w:rsidRPr="00FC5BD1">
        <w:rPr>
          <w:rFonts w:cstheme="minorHAnsi"/>
        </w:rPr>
        <w:t xml:space="preserve"> through </w:t>
      </w:r>
      <w:r w:rsidR="008711CA" w:rsidRPr="00FC5BD1">
        <w:rPr>
          <w:rFonts w:cstheme="minorHAnsi"/>
        </w:rPr>
        <w:t xml:space="preserve">social media </w:t>
      </w:r>
      <w:r w:rsidRPr="00FC5BD1">
        <w:rPr>
          <w:rFonts w:cstheme="minorHAnsi"/>
        </w:rPr>
        <w:t xml:space="preserve">(Dabija, et al. </w:t>
      </w:r>
      <w:r w:rsidRPr="00FC5BD1">
        <w:rPr>
          <w:rFonts w:cstheme="minorHAnsi"/>
          <w:color w:val="C00000"/>
        </w:rPr>
        <w:t>2019</w:t>
      </w:r>
      <w:r w:rsidRPr="00FC5BD1">
        <w:rPr>
          <w:rFonts w:cstheme="minorHAnsi"/>
        </w:rPr>
        <w:t xml:space="preserve">), </w:t>
      </w:r>
      <w:r w:rsidR="00EB05CD" w:rsidRPr="00FC5BD1">
        <w:rPr>
          <w:rFonts w:cstheme="minorHAnsi"/>
        </w:rPr>
        <w:t>since</w:t>
      </w:r>
      <w:r w:rsidRPr="00FC5BD1">
        <w:rPr>
          <w:rFonts w:cstheme="minorHAnsi"/>
        </w:rPr>
        <w:t xml:space="preserve"> feedback </w:t>
      </w:r>
      <w:r w:rsidR="008459EE" w:rsidRPr="00FC5BD1">
        <w:rPr>
          <w:rFonts w:cstheme="minorHAnsi"/>
        </w:rPr>
        <w:t>about</w:t>
      </w:r>
      <w:r w:rsidRPr="00FC5BD1">
        <w:rPr>
          <w:rFonts w:cstheme="minorHAnsi"/>
        </w:rPr>
        <w:t xml:space="preserve"> their own</w:t>
      </w:r>
      <w:r w:rsidR="008459EE" w:rsidRPr="00FC5BD1">
        <w:rPr>
          <w:rFonts w:cstheme="minorHAnsi"/>
        </w:rPr>
        <w:t xml:space="preserve"> and others’</w:t>
      </w:r>
      <w:r w:rsidRPr="00FC5BD1">
        <w:rPr>
          <w:rFonts w:cstheme="minorHAnsi"/>
        </w:rPr>
        <w:t xml:space="preserve"> experiences is important (Dolot, </w:t>
      </w:r>
      <w:r w:rsidRPr="00FC5BD1">
        <w:rPr>
          <w:rFonts w:cstheme="minorHAnsi"/>
          <w:color w:val="C00000"/>
        </w:rPr>
        <w:t>2018</w:t>
      </w:r>
      <w:r w:rsidRPr="00FC5BD1">
        <w:rPr>
          <w:rFonts w:cstheme="minorHAnsi"/>
        </w:rPr>
        <w:t>). Being considered the true digital natives (</w:t>
      </w:r>
      <w:r w:rsidR="001B6EBD" w:rsidRPr="00FC5BD1">
        <w:rPr>
          <w:rFonts w:cstheme="minorHAnsi"/>
        </w:rPr>
        <w:t>Peñalosa</w:t>
      </w:r>
      <w:r w:rsidRPr="00FC5BD1">
        <w:rPr>
          <w:rFonts w:cstheme="minorHAnsi"/>
        </w:rPr>
        <w:t xml:space="preserve">-Otero, et al. </w:t>
      </w:r>
      <w:r w:rsidRPr="00FC5BD1">
        <w:rPr>
          <w:rFonts w:cstheme="minorHAnsi"/>
          <w:color w:val="C00000"/>
        </w:rPr>
        <w:t>2020</w:t>
      </w:r>
      <w:r w:rsidRPr="00FC5BD1">
        <w:rPr>
          <w:rFonts w:cstheme="minorHAnsi"/>
        </w:rPr>
        <w:t xml:space="preserve">), this trend is and will continue to be a characteristic of </w:t>
      </w:r>
      <w:r w:rsidR="008459EE" w:rsidRPr="00FC5BD1">
        <w:rPr>
          <w:rFonts w:cstheme="minorHAnsi"/>
        </w:rPr>
        <w:t>G</w:t>
      </w:r>
      <w:r w:rsidRPr="00FC5BD1">
        <w:rPr>
          <w:rFonts w:cstheme="minorHAnsi"/>
        </w:rPr>
        <w:t xml:space="preserve">eneration Z. Therefore, the second hypothesis of this </w:t>
      </w:r>
      <w:r w:rsidR="008459EE" w:rsidRPr="00FC5BD1">
        <w:rPr>
          <w:rFonts w:cstheme="minorHAnsi"/>
        </w:rPr>
        <w:t>paper</w:t>
      </w:r>
      <w:r w:rsidRPr="00FC5BD1">
        <w:rPr>
          <w:rFonts w:cstheme="minorHAnsi"/>
        </w:rPr>
        <w:t xml:space="preserve"> is:</w:t>
      </w:r>
    </w:p>
    <w:p w14:paraId="51D1799D" w14:textId="05DB729A" w:rsidR="00EA3305" w:rsidRPr="00FC5BD1" w:rsidRDefault="00EA3305" w:rsidP="003C06D5">
      <w:pPr>
        <w:spacing w:after="240" w:line="360" w:lineRule="auto"/>
        <w:jc w:val="both"/>
        <w:rPr>
          <w:rFonts w:cstheme="minorHAnsi"/>
          <w:i/>
          <w:iCs/>
        </w:rPr>
      </w:pPr>
      <w:r w:rsidRPr="00FC5BD1">
        <w:rPr>
          <w:rFonts w:cstheme="minorHAnsi"/>
          <w:i/>
          <w:iCs/>
        </w:rPr>
        <w:t>H</w:t>
      </w:r>
      <w:r w:rsidRPr="00FC5BD1">
        <w:rPr>
          <w:rFonts w:cstheme="minorHAnsi"/>
          <w:i/>
          <w:iCs/>
          <w:sz w:val="18"/>
          <w:szCs w:val="18"/>
        </w:rPr>
        <w:t>2</w:t>
      </w:r>
      <w:r w:rsidRPr="00FC5BD1">
        <w:rPr>
          <w:rFonts w:cstheme="minorHAnsi"/>
          <w:i/>
          <w:iCs/>
        </w:rPr>
        <w:t>: Gen Z</w:t>
      </w:r>
      <w:r w:rsidR="008459EE" w:rsidRPr="00FC5BD1">
        <w:rPr>
          <w:rFonts w:cstheme="minorHAnsi"/>
          <w:i/>
          <w:iCs/>
        </w:rPr>
        <w:t>’s</w:t>
      </w:r>
      <w:r w:rsidRPr="00FC5BD1">
        <w:rPr>
          <w:rFonts w:cstheme="minorHAnsi"/>
          <w:i/>
          <w:iCs/>
        </w:rPr>
        <w:t xml:space="preserve"> subjective norms are significant in the explained variance of sustainable consumption during and after the pandemic.</w:t>
      </w:r>
    </w:p>
    <w:p w14:paraId="3D917147" w14:textId="77777777" w:rsidR="003C3D5A" w:rsidRPr="00FC5BD1" w:rsidRDefault="003C3D5A" w:rsidP="003C06D5">
      <w:pPr>
        <w:spacing w:after="240" w:line="360" w:lineRule="auto"/>
        <w:jc w:val="both"/>
        <w:rPr>
          <w:rFonts w:cstheme="minorHAnsi"/>
          <w:i/>
          <w:iCs/>
        </w:rPr>
      </w:pPr>
    </w:p>
    <w:p w14:paraId="1636064B" w14:textId="77777777" w:rsidR="00EA3305" w:rsidRPr="00FC5BD1" w:rsidRDefault="00EA3305" w:rsidP="003C06D5">
      <w:pPr>
        <w:spacing w:after="240" w:line="360" w:lineRule="auto"/>
        <w:jc w:val="both"/>
        <w:rPr>
          <w:rFonts w:cstheme="minorHAnsi"/>
          <w:b/>
          <w:bCs/>
        </w:rPr>
      </w:pPr>
      <w:r w:rsidRPr="00FC5BD1">
        <w:rPr>
          <w:rFonts w:cstheme="minorHAnsi"/>
          <w:b/>
          <w:bCs/>
        </w:rPr>
        <w:lastRenderedPageBreak/>
        <w:t>Perceived Behavioral Control</w:t>
      </w:r>
    </w:p>
    <w:p w14:paraId="3F6B6608" w14:textId="1248ECAE" w:rsidR="00EA3305" w:rsidRPr="00FC5BD1" w:rsidRDefault="00EA3305" w:rsidP="003C06D5">
      <w:pPr>
        <w:spacing w:after="240" w:line="360" w:lineRule="auto"/>
        <w:jc w:val="both"/>
        <w:rPr>
          <w:rFonts w:cstheme="minorHAnsi"/>
        </w:rPr>
      </w:pPr>
      <w:r w:rsidRPr="00FC5BD1">
        <w:rPr>
          <w:rFonts w:cstheme="minorHAnsi"/>
        </w:rPr>
        <w:t xml:space="preserve">The third variable considered by </w:t>
      </w:r>
      <w:proofErr w:type="spellStart"/>
      <w:r w:rsidRPr="00FC5BD1">
        <w:rPr>
          <w:rFonts w:cstheme="minorHAnsi"/>
        </w:rPr>
        <w:t>Azjen</w:t>
      </w:r>
      <w:proofErr w:type="spellEnd"/>
      <w:r w:rsidRPr="00FC5BD1">
        <w:rPr>
          <w:rFonts w:cstheme="minorHAnsi"/>
        </w:rPr>
        <w:t xml:space="preserve"> (</w:t>
      </w:r>
      <w:r w:rsidRPr="00FC5BD1">
        <w:rPr>
          <w:rFonts w:cstheme="minorHAnsi"/>
          <w:color w:val="C00000"/>
        </w:rPr>
        <w:t>1991</w:t>
      </w:r>
      <w:r w:rsidRPr="00FC5BD1">
        <w:rPr>
          <w:rFonts w:cstheme="minorHAnsi"/>
        </w:rPr>
        <w:t xml:space="preserve">) to explain planned behavior is perceived behavioral control, which is the individual's perception of </w:t>
      </w:r>
      <w:r w:rsidR="00DB7C4C" w:rsidRPr="00FC5BD1">
        <w:rPr>
          <w:rFonts w:cstheme="minorHAnsi"/>
        </w:rPr>
        <w:t>how easy or</w:t>
      </w:r>
      <w:r w:rsidRPr="00FC5BD1">
        <w:rPr>
          <w:rFonts w:cstheme="minorHAnsi"/>
        </w:rPr>
        <w:t xml:space="preserve"> difficult</w:t>
      </w:r>
      <w:r w:rsidR="00DB7C4C" w:rsidRPr="00FC5BD1">
        <w:rPr>
          <w:rFonts w:cstheme="minorHAnsi"/>
        </w:rPr>
        <w:t xml:space="preserve"> it is</w:t>
      </w:r>
      <w:r w:rsidRPr="00FC5BD1">
        <w:rPr>
          <w:rFonts w:cstheme="minorHAnsi"/>
        </w:rPr>
        <w:t xml:space="preserve"> to perform the behavior. This perception has been shaped by past experiences, in addition to obstacles</w:t>
      </w:r>
      <w:r w:rsidR="00DB7C4C" w:rsidRPr="00FC5BD1">
        <w:rPr>
          <w:rFonts w:cstheme="minorHAnsi"/>
        </w:rPr>
        <w:t xml:space="preserve"> that</w:t>
      </w:r>
      <w:r w:rsidRPr="00FC5BD1">
        <w:rPr>
          <w:rFonts w:cstheme="minorHAnsi"/>
        </w:rPr>
        <w:t xml:space="preserve"> exist </w:t>
      </w:r>
      <w:proofErr w:type="gramStart"/>
      <w:r w:rsidRPr="00FC5BD1">
        <w:rPr>
          <w:rFonts w:cstheme="minorHAnsi"/>
        </w:rPr>
        <w:t>at the moment</w:t>
      </w:r>
      <w:proofErr w:type="gramEnd"/>
      <w:r w:rsidRPr="00FC5BD1">
        <w:rPr>
          <w:rFonts w:cstheme="minorHAnsi"/>
        </w:rPr>
        <w:t xml:space="preserve">, such as time, money or lack of information (Hosta &amp; Zabkar, </w:t>
      </w:r>
      <w:r w:rsidRPr="00FC5BD1">
        <w:rPr>
          <w:rFonts w:cstheme="minorHAnsi"/>
          <w:color w:val="C00000"/>
        </w:rPr>
        <w:t>2021</w:t>
      </w:r>
      <w:r w:rsidRPr="00FC5BD1">
        <w:rPr>
          <w:rFonts w:cstheme="minorHAnsi"/>
        </w:rPr>
        <w:t>).</w:t>
      </w:r>
    </w:p>
    <w:p w14:paraId="5EA3592D" w14:textId="7F12EC20" w:rsidR="00EA3305" w:rsidRPr="00FC5BD1" w:rsidRDefault="00EA3305" w:rsidP="003C06D5">
      <w:pPr>
        <w:spacing w:after="240" w:line="360" w:lineRule="auto"/>
        <w:jc w:val="both"/>
        <w:rPr>
          <w:rFonts w:cstheme="minorHAnsi"/>
        </w:rPr>
      </w:pPr>
      <w:r w:rsidRPr="00FC5BD1">
        <w:rPr>
          <w:rFonts w:cstheme="minorHAnsi"/>
        </w:rPr>
        <w:t>Dabija et al. (</w:t>
      </w:r>
      <w:r w:rsidRPr="00FC5BD1">
        <w:rPr>
          <w:rFonts w:cstheme="minorHAnsi"/>
          <w:color w:val="C00000"/>
        </w:rPr>
        <w:t>2019</w:t>
      </w:r>
      <w:r w:rsidRPr="00FC5BD1">
        <w:rPr>
          <w:rFonts w:cstheme="minorHAnsi"/>
        </w:rPr>
        <w:t xml:space="preserve">) </w:t>
      </w:r>
      <w:proofErr w:type="gramStart"/>
      <w:r w:rsidRPr="00FC5BD1">
        <w:rPr>
          <w:rFonts w:cstheme="minorHAnsi"/>
        </w:rPr>
        <w:t>state</w:t>
      </w:r>
      <w:proofErr w:type="gramEnd"/>
      <w:r w:rsidRPr="00FC5BD1">
        <w:rPr>
          <w:rFonts w:cstheme="minorHAnsi"/>
        </w:rPr>
        <w:t xml:space="preserve"> that </w:t>
      </w:r>
      <w:r w:rsidR="00DB7C4C" w:rsidRPr="00FC5BD1">
        <w:rPr>
          <w:rFonts w:cstheme="minorHAnsi"/>
        </w:rPr>
        <w:t>C</w:t>
      </w:r>
      <w:r w:rsidRPr="00FC5BD1">
        <w:rPr>
          <w:rFonts w:cstheme="minorHAnsi"/>
        </w:rPr>
        <w:t xml:space="preserve">entennials are the most interested in incorporating sustainability into their activities, so they do not perceive great difficulties in adapting to a more sustainable lifestyle (Sharma, </w:t>
      </w:r>
      <w:r w:rsidRPr="00FC5BD1">
        <w:rPr>
          <w:rFonts w:cstheme="minorHAnsi"/>
          <w:color w:val="C00000"/>
        </w:rPr>
        <w:t>2019</w:t>
      </w:r>
      <w:r w:rsidRPr="00FC5BD1">
        <w:rPr>
          <w:rFonts w:cstheme="minorHAnsi"/>
        </w:rPr>
        <w:t>); therefore, the third hypothesis is posed as follows:</w:t>
      </w:r>
    </w:p>
    <w:p w14:paraId="608B30B2" w14:textId="4F4F8E51" w:rsidR="00EA3305" w:rsidRPr="00FC5BD1" w:rsidRDefault="00EA3305" w:rsidP="003C06D5">
      <w:pPr>
        <w:spacing w:after="240" w:line="360" w:lineRule="auto"/>
        <w:jc w:val="both"/>
        <w:rPr>
          <w:rFonts w:cstheme="minorHAnsi"/>
          <w:i/>
          <w:iCs/>
        </w:rPr>
      </w:pPr>
      <w:r w:rsidRPr="00FC5BD1">
        <w:rPr>
          <w:rFonts w:cstheme="minorHAnsi"/>
          <w:i/>
          <w:iCs/>
        </w:rPr>
        <w:t>H</w:t>
      </w:r>
      <w:r w:rsidRPr="00FC5BD1">
        <w:rPr>
          <w:rFonts w:cstheme="minorHAnsi"/>
          <w:i/>
          <w:iCs/>
          <w:sz w:val="18"/>
          <w:szCs w:val="18"/>
        </w:rPr>
        <w:t>3</w:t>
      </w:r>
      <w:r w:rsidRPr="00FC5BD1">
        <w:rPr>
          <w:rFonts w:cstheme="minorHAnsi"/>
          <w:i/>
          <w:iCs/>
        </w:rPr>
        <w:t xml:space="preserve">: </w:t>
      </w:r>
      <w:r w:rsidR="00DB7C4C" w:rsidRPr="00FC5BD1">
        <w:rPr>
          <w:rFonts w:cstheme="minorHAnsi"/>
          <w:i/>
          <w:iCs/>
        </w:rPr>
        <w:t>Gen Z’s</w:t>
      </w:r>
      <w:r w:rsidRPr="00FC5BD1">
        <w:rPr>
          <w:rFonts w:cstheme="minorHAnsi"/>
          <w:i/>
          <w:iCs/>
        </w:rPr>
        <w:t xml:space="preserve"> perceived behavioral control is significant in the explained variance of sustainable consumption during and after the pandemic.</w:t>
      </w:r>
    </w:p>
    <w:p w14:paraId="05835718" w14:textId="2EB35BB0" w:rsidR="00EA3305" w:rsidRPr="00FC5BD1" w:rsidRDefault="00EA3305" w:rsidP="003C06D5">
      <w:pPr>
        <w:spacing w:after="240" w:line="360" w:lineRule="auto"/>
        <w:jc w:val="both"/>
        <w:rPr>
          <w:rFonts w:cstheme="minorHAnsi"/>
          <w:b/>
          <w:bCs/>
        </w:rPr>
      </w:pPr>
      <w:r w:rsidRPr="00FC5BD1">
        <w:rPr>
          <w:rFonts w:cstheme="minorHAnsi"/>
          <w:b/>
          <w:bCs/>
        </w:rPr>
        <w:t>Sustainable purchase intention</w:t>
      </w:r>
    </w:p>
    <w:p w14:paraId="31D14435" w14:textId="30A014E1" w:rsidR="00EA3305" w:rsidRPr="00FC5BD1" w:rsidRDefault="001C3DF1" w:rsidP="003C06D5">
      <w:pPr>
        <w:spacing w:after="240" w:line="360" w:lineRule="auto"/>
        <w:jc w:val="both"/>
        <w:rPr>
          <w:rFonts w:cstheme="minorHAnsi"/>
        </w:rPr>
      </w:pPr>
      <w:proofErr w:type="spellStart"/>
      <w:r w:rsidRPr="00FC5BD1">
        <w:rPr>
          <w:rFonts w:cstheme="minorHAnsi"/>
        </w:rPr>
        <w:t>Azjen</w:t>
      </w:r>
      <w:proofErr w:type="spellEnd"/>
      <w:r w:rsidRPr="00FC5BD1">
        <w:rPr>
          <w:rFonts w:cstheme="minorHAnsi"/>
        </w:rPr>
        <w:t xml:space="preserve"> (</w:t>
      </w:r>
      <w:r w:rsidRPr="00FC5BD1">
        <w:rPr>
          <w:rFonts w:cstheme="minorHAnsi"/>
          <w:color w:val="C00000"/>
        </w:rPr>
        <w:t>1991</w:t>
      </w:r>
      <w:r w:rsidRPr="00FC5BD1">
        <w:rPr>
          <w:rFonts w:cstheme="minorHAnsi"/>
        </w:rPr>
        <w:t xml:space="preserve">) explains that the intention precedes the final behavior. In this study, sustainable purchase intention refers to the </w:t>
      </w:r>
      <w:r w:rsidR="00D34697" w:rsidRPr="00FC5BD1">
        <w:rPr>
          <w:rFonts w:cstheme="minorHAnsi"/>
        </w:rPr>
        <w:t>C</w:t>
      </w:r>
      <w:r w:rsidR="00C306F9" w:rsidRPr="00FC5BD1">
        <w:rPr>
          <w:rFonts w:cstheme="minorHAnsi"/>
        </w:rPr>
        <w:t>entennials</w:t>
      </w:r>
      <w:r w:rsidR="00D34697" w:rsidRPr="00FC5BD1">
        <w:rPr>
          <w:rFonts w:cstheme="minorHAnsi"/>
        </w:rPr>
        <w:t>’</w:t>
      </w:r>
      <w:r w:rsidR="00C306F9" w:rsidRPr="00FC5BD1">
        <w:rPr>
          <w:rFonts w:cstheme="minorHAnsi"/>
        </w:rPr>
        <w:t xml:space="preserve"> </w:t>
      </w:r>
      <w:r w:rsidRPr="00FC5BD1">
        <w:rPr>
          <w:rFonts w:cstheme="minorHAnsi"/>
        </w:rPr>
        <w:t xml:space="preserve">willingness to buy sustainable products (Matharu, Jain &amp; Kamboj, </w:t>
      </w:r>
      <w:r w:rsidRPr="00FC5BD1">
        <w:rPr>
          <w:rFonts w:cstheme="minorHAnsi"/>
          <w:color w:val="C00000"/>
        </w:rPr>
        <w:t>2020</w:t>
      </w:r>
      <w:r w:rsidRPr="00FC5BD1">
        <w:rPr>
          <w:rFonts w:cstheme="minorHAnsi"/>
        </w:rPr>
        <w:t xml:space="preserve">) and </w:t>
      </w:r>
      <w:r w:rsidR="00D34697" w:rsidRPr="00FC5BD1">
        <w:rPr>
          <w:rFonts w:cstheme="minorHAnsi"/>
        </w:rPr>
        <w:t>measure their</w:t>
      </w:r>
      <w:r w:rsidRPr="00FC5BD1">
        <w:rPr>
          <w:rFonts w:cstheme="minorHAnsi"/>
        </w:rPr>
        <w:t xml:space="preserve"> consumption.</w:t>
      </w:r>
    </w:p>
    <w:p w14:paraId="22B2C425" w14:textId="376B27B0" w:rsidR="001C3DF1" w:rsidRPr="00FC5BD1" w:rsidRDefault="001C3DF1" w:rsidP="003C06D5">
      <w:pPr>
        <w:spacing w:after="240" w:line="360" w:lineRule="auto"/>
        <w:jc w:val="both"/>
        <w:rPr>
          <w:rFonts w:cstheme="minorHAnsi"/>
        </w:rPr>
      </w:pPr>
      <w:r w:rsidRPr="00FC5BD1">
        <w:rPr>
          <w:rFonts w:cstheme="minorHAnsi"/>
        </w:rPr>
        <w:t xml:space="preserve">During the pandemic, </w:t>
      </w:r>
      <w:r w:rsidR="00D34697" w:rsidRPr="00FC5BD1">
        <w:rPr>
          <w:rFonts w:cstheme="minorHAnsi"/>
        </w:rPr>
        <w:t>G</w:t>
      </w:r>
      <w:r w:rsidRPr="00FC5BD1">
        <w:rPr>
          <w:rFonts w:cstheme="minorHAnsi"/>
        </w:rPr>
        <w:t xml:space="preserve">en </w:t>
      </w:r>
      <w:proofErr w:type="gramStart"/>
      <w:r w:rsidRPr="00FC5BD1">
        <w:rPr>
          <w:rFonts w:cstheme="minorHAnsi"/>
        </w:rPr>
        <w:t>Z</w:t>
      </w:r>
      <w:r w:rsidR="00D34697" w:rsidRPr="00FC5BD1">
        <w:rPr>
          <w:rFonts w:cstheme="minorHAnsi"/>
        </w:rPr>
        <w:t>’s</w:t>
      </w:r>
      <w:proofErr w:type="gramEnd"/>
      <w:r w:rsidRPr="00FC5BD1">
        <w:rPr>
          <w:rFonts w:cstheme="minorHAnsi"/>
        </w:rPr>
        <w:t xml:space="preserve"> did not have great decision-making power over </w:t>
      </w:r>
      <w:r w:rsidR="00D34697" w:rsidRPr="00FC5BD1">
        <w:rPr>
          <w:rFonts w:cstheme="minorHAnsi"/>
        </w:rPr>
        <w:t>what</w:t>
      </w:r>
      <w:r w:rsidRPr="00FC5BD1">
        <w:rPr>
          <w:rFonts w:cstheme="minorHAnsi"/>
        </w:rPr>
        <w:t xml:space="preserve"> food was </w:t>
      </w:r>
      <w:r w:rsidR="00D34697" w:rsidRPr="00FC5BD1">
        <w:rPr>
          <w:rFonts w:cstheme="minorHAnsi"/>
        </w:rPr>
        <w:t>purchased</w:t>
      </w:r>
      <w:r w:rsidRPr="00FC5BD1">
        <w:rPr>
          <w:rFonts w:cstheme="minorHAnsi"/>
        </w:rPr>
        <w:t xml:space="preserve"> at home, since general</w:t>
      </w:r>
      <w:r w:rsidR="00D34697" w:rsidRPr="00FC5BD1">
        <w:rPr>
          <w:rFonts w:cstheme="minorHAnsi"/>
        </w:rPr>
        <w:t>ly</w:t>
      </w:r>
      <w:r w:rsidR="00C306F9" w:rsidRPr="00FC5BD1">
        <w:rPr>
          <w:rFonts w:cstheme="minorHAnsi"/>
        </w:rPr>
        <w:t>,</w:t>
      </w:r>
      <w:r w:rsidRPr="00FC5BD1">
        <w:rPr>
          <w:rFonts w:cstheme="minorHAnsi"/>
        </w:rPr>
        <w:t xml:space="preserve"> </w:t>
      </w:r>
      <w:r w:rsidR="00C306F9" w:rsidRPr="00FC5BD1">
        <w:rPr>
          <w:rFonts w:cstheme="minorHAnsi"/>
        </w:rPr>
        <w:t>it was acquired</w:t>
      </w:r>
      <w:r w:rsidRPr="00FC5BD1">
        <w:rPr>
          <w:rFonts w:cstheme="minorHAnsi"/>
        </w:rPr>
        <w:t xml:space="preserve"> by the </w:t>
      </w:r>
      <w:r w:rsidR="00C306F9" w:rsidRPr="00FC5BD1">
        <w:rPr>
          <w:rFonts w:cstheme="minorHAnsi"/>
        </w:rPr>
        <w:t>older</w:t>
      </w:r>
      <w:r w:rsidRPr="00FC5BD1">
        <w:rPr>
          <w:rFonts w:cstheme="minorHAnsi"/>
        </w:rPr>
        <w:t xml:space="preserve">. Considering that they are more practical than the generations </w:t>
      </w:r>
      <w:r w:rsidR="00D34697" w:rsidRPr="00FC5BD1">
        <w:rPr>
          <w:rFonts w:cstheme="minorHAnsi"/>
        </w:rPr>
        <w:t>before</w:t>
      </w:r>
      <w:r w:rsidRPr="00FC5BD1">
        <w:rPr>
          <w:rFonts w:cstheme="minorHAnsi"/>
        </w:rPr>
        <w:t xml:space="preserve"> them (Vilanova &amp; Ortega, </w:t>
      </w:r>
      <w:r w:rsidRPr="00FC5BD1">
        <w:rPr>
          <w:rFonts w:cstheme="minorHAnsi"/>
          <w:color w:val="C00000"/>
        </w:rPr>
        <w:t>2017</w:t>
      </w:r>
      <w:r w:rsidRPr="00FC5BD1">
        <w:rPr>
          <w:rFonts w:cstheme="minorHAnsi"/>
        </w:rPr>
        <w:t xml:space="preserve">), not deciding on purchases </w:t>
      </w:r>
      <w:r w:rsidR="00D34697" w:rsidRPr="00FC5BD1">
        <w:rPr>
          <w:rFonts w:cstheme="minorHAnsi"/>
        </w:rPr>
        <w:t xml:space="preserve">that were </w:t>
      </w:r>
      <w:r w:rsidRPr="00FC5BD1">
        <w:rPr>
          <w:rFonts w:cstheme="minorHAnsi"/>
        </w:rPr>
        <w:t>made at home did not affect their perception of sustainable consumption. Following these arguments, the fourth hypothesis of this research is:</w:t>
      </w:r>
    </w:p>
    <w:p w14:paraId="6AC93E5C" w14:textId="180ACDB9" w:rsidR="001C3DF1" w:rsidRPr="00FC5BD1" w:rsidRDefault="001C3DF1" w:rsidP="003C06D5">
      <w:pPr>
        <w:spacing w:after="240" w:line="360" w:lineRule="auto"/>
        <w:jc w:val="both"/>
        <w:rPr>
          <w:rFonts w:cstheme="minorHAnsi"/>
          <w:i/>
          <w:iCs/>
        </w:rPr>
      </w:pPr>
      <w:r w:rsidRPr="00FC5BD1">
        <w:rPr>
          <w:rFonts w:cstheme="minorHAnsi"/>
          <w:i/>
          <w:iCs/>
        </w:rPr>
        <w:lastRenderedPageBreak/>
        <w:t>H</w:t>
      </w:r>
      <w:r w:rsidRPr="00FC5BD1">
        <w:rPr>
          <w:rFonts w:cstheme="minorHAnsi"/>
          <w:i/>
          <w:iCs/>
          <w:sz w:val="18"/>
          <w:szCs w:val="18"/>
        </w:rPr>
        <w:t>4</w:t>
      </w:r>
      <w:r w:rsidRPr="00FC5BD1">
        <w:rPr>
          <w:rFonts w:cstheme="minorHAnsi"/>
          <w:i/>
          <w:iCs/>
        </w:rPr>
        <w:t xml:space="preserve">: During the pandemic, </w:t>
      </w:r>
      <w:r w:rsidR="00D34697" w:rsidRPr="00FC5BD1">
        <w:rPr>
          <w:rFonts w:cstheme="minorHAnsi"/>
          <w:i/>
          <w:iCs/>
        </w:rPr>
        <w:t>Gen Z’s</w:t>
      </w:r>
      <w:r w:rsidRPr="00FC5BD1">
        <w:rPr>
          <w:rFonts w:cstheme="minorHAnsi"/>
          <w:i/>
          <w:iCs/>
        </w:rPr>
        <w:t xml:space="preserve"> sustainable purchase intention did not have a significant or mediating effect on sustainable consumption.</w:t>
      </w:r>
    </w:p>
    <w:p w14:paraId="13655DE9" w14:textId="0D16F1E7" w:rsidR="001C3DF1" w:rsidRPr="00FC5BD1" w:rsidRDefault="001C3DF1" w:rsidP="003C06D5">
      <w:pPr>
        <w:spacing w:after="240" w:line="360" w:lineRule="auto"/>
        <w:jc w:val="both"/>
        <w:rPr>
          <w:rFonts w:cstheme="minorHAnsi"/>
        </w:rPr>
      </w:pPr>
      <w:r w:rsidRPr="00FC5BD1">
        <w:rPr>
          <w:rFonts w:cstheme="minorHAnsi"/>
        </w:rPr>
        <w:t xml:space="preserve">However, two years later, when the pandemic had already ended, the youngest acquired maturity, decision-making power and, in some cases, a job that now allows them to have greater purchasing power, </w:t>
      </w:r>
      <w:r w:rsidR="00D34697" w:rsidRPr="00FC5BD1">
        <w:rPr>
          <w:rFonts w:cstheme="minorHAnsi"/>
        </w:rPr>
        <w:t>enabling</w:t>
      </w:r>
      <w:r w:rsidRPr="00FC5BD1">
        <w:rPr>
          <w:rFonts w:cstheme="minorHAnsi"/>
        </w:rPr>
        <w:t xml:space="preserve"> them to make decisions about what to buy</w:t>
      </w:r>
      <w:r w:rsidR="00C64977" w:rsidRPr="00FC5BD1">
        <w:rPr>
          <w:rFonts w:cstheme="minorHAnsi"/>
        </w:rPr>
        <w:t>,</w:t>
      </w:r>
      <w:r w:rsidRPr="00FC5BD1">
        <w:rPr>
          <w:rFonts w:cstheme="minorHAnsi"/>
        </w:rPr>
        <w:t xml:space="preserve"> </w:t>
      </w:r>
      <w:r w:rsidR="00D34697" w:rsidRPr="00FC5BD1">
        <w:rPr>
          <w:rFonts w:cstheme="minorHAnsi"/>
        </w:rPr>
        <w:t>being assured about</w:t>
      </w:r>
      <w:r w:rsidRPr="00FC5BD1">
        <w:rPr>
          <w:rFonts w:cstheme="minorHAnsi"/>
        </w:rPr>
        <w:t xml:space="preserve"> the quality of the products (Sharma, Gupta &amp; Kapoor, </w:t>
      </w:r>
      <w:r w:rsidRPr="00FC5BD1">
        <w:rPr>
          <w:rFonts w:cstheme="minorHAnsi"/>
          <w:color w:val="C00000"/>
        </w:rPr>
        <w:t>2020</w:t>
      </w:r>
      <w:r w:rsidRPr="00FC5BD1">
        <w:rPr>
          <w:rFonts w:cstheme="minorHAnsi"/>
        </w:rPr>
        <w:t xml:space="preserve">) and </w:t>
      </w:r>
      <w:r w:rsidR="00C64977" w:rsidRPr="00FC5BD1">
        <w:rPr>
          <w:rFonts w:cstheme="minorHAnsi"/>
        </w:rPr>
        <w:t xml:space="preserve">the </w:t>
      </w:r>
      <w:r w:rsidRPr="00FC5BD1">
        <w:rPr>
          <w:rFonts w:cstheme="minorHAnsi"/>
        </w:rPr>
        <w:t>authentic</w:t>
      </w:r>
      <w:r w:rsidR="00C64977" w:rsidRPr="00FC5BD1">
        <w:rPr>
          <w:rFonts w:cstheme="minorHAnsi"/>
        </w:rPr>
        <w:t>ity of</w:t>
      </w:r>
      <w:r w:rsidRPr="00FC5BD1">
        <w:rPr>
          <w:rFonts w:cstheme="minorHAnsi"/>
        </w:rPr>
        <w:t xml:space="preserve"> sustainable origin. Thus, the fifth hypothesis of this work is:</w:t>
      </w:r>
    </w:p>
    <w:p w14:paraId="39A742A7" w14:textId="0EF0875B" w:rsidR="001C3DF1" w:rsidRPr="00FC5BD1" w:rsidRDefault="001C3DF1" w:rsidP="003C06D5">
      <w:pPr>
        <w:spacing w:after="240" w:line="360" w:lineRule="auto"/>
        <w:jc w:val="both"/>
        <w:rPr>
          <w:rFonts w:cstheme="minorHAnsi"/>
          <w:i/>
          <w:iCs/>
        </w:rPr>
      </w:pPr>
      <w:r w:rsidRPr="00FC5BD1">
        <w:rPr>
          <w:rFonts w:cstheme="minorHAnsi"/>
          <w:i/>
          <w:iCs/>
        </w:rPr>
        <w:t>H</w:t>
      </w:r>
      <w:r w:rsidRPr="00FC5BD1">
        <w:rPr>
          <w:rFonts w:cstheme="minorHAnsi"/>
          <w:i/>
          <w:iCs/>
          <w:sz w:val="18"/>
          <w:szCs w:val="18"/>
        </w:rPr>
        <w:t>5</w:t>
      </w:r>
      <w:r w:rsidRPr="00FC5BD1">
        <w:rPr>
          <w:rFonts w:cstheme="minorHAnsi"/>
          <w:i/>
          <w:iCs/>
        </w:rPr>
        <w:t xml:space="preserve">: </w:t>
      </w:r>
      <w:r w:rsidR="00D34697" w:rsidRPr="00FC5BD1">
        <w:rPr>
          <w:rFonts w:cstheme="minorHAnsi"/>
          <w:i/>
          <w:iCs/>
        </w:rPr>
        <w:t>Post-</w:t>
      </w:r>
      <w:r w:rsidRPr="00FC5BD1">
        <w:rPr>
          <w:rFonts w:cstheme="minorHAnsi"/>
          <w:i/>
          <w:iCs/>
        </w:rPr>
        <w:t xml:space="preserve">pandemic, </w:t>
      </w:r>
      <w:r w:rsidR="00D34697" w:rsidRPr="00FC5BD1">
        <w:rPr>
          <w:rFonts w:cstheme="minorHAnsi"/>
          <w:i/>
          <w:iCs/>
        </w:rPr>
        <w:t>Gen Z’s</w:t>
      </w:r>
      <w:r w:rsidRPr="00FC5BD1">
        <w:rPr>
          <w:rFonts w:cstheme="minorHAnsi"/>
          <w:i/>
          <w:iCs/>
        </w:rPr>
        <w:t xml:space="preserve"> sustainable purchase intention has a significant and mediating effect</w:t>
      </w:r>
      <w:r w:rsidR="008F6F85" w:rsidRPr="00FC5BD1">
        <w:rPr>
          <w:rFonts w:cstheme="minorHAnsi"/>
          <w:i/>
          <w:iCs/>
        </w:rPr>
        <w:t xml:space="preserve"> between the variables of the </w:t>
      </w:r>
      <w:r w:rsidR="00A04D9D" w:rsidRPr="00FC5BD1">
        <w:rPr>
          <w:rFonts w:cstheme="minorHAnsi"/>
          <w:i/>
          <w:iCs/>
        </w:rPr>
        <w:t xml:space="preserve">Theory of Planned Behavior </w:t>
      </w:r>
      <w:r w:rsidR="008F6F85" w:rsidRPr="00FC5BD1">
        <w:rPr>
          <w:rFonts w:cstheme="minorHAnsi"/>
          <w:i/>
          <w:iCs/>
        </w:rPr>
        <w:t>and</w:t>
      </w:r>
      <w:r w:rsidRPr="00FC5BD1">
        <w:rPr>
          <w:rFonts w:cstheme="minorHAnsi"/>
          <w:i/>
          <w:iCs/>
        </w:rPr>
        <w:t xml:space="preserve"> sustainable consumption.</w:t>
      </w:r>
    </w:p>
    <w:p w14:paraId="4199E5CC" w14:textId="47E7C4BD" w:rsidR="00137B66" w:rsidRPr="00FC5BD1" w:rsidRDefault="00137B66" w:rsidP="003C06D5">
      <w:pPr>
        <w:spacing w:after="240" w:line="360" w:lineRule="auto"/>
        <w:jc w:val="both"/>
        <w:rPr>
          <w:rFonts w:cstheme="minorHAnsi"/>
          <w:b/>
          <w:bCs/>
        </w:rPr>
      </w:pPr>
      <w:r w:rsidRPr="00FC5BD1">
        <w:rPr>
          <w:rFonts w:cstheme="minorHAnsi"/>
          <w:b/>
          <w:bCs/>
        </w:rPr>
        <w:t>Sustainable consumption</w:t>
      </w:r>
    </w:p>
    <w:p w14:paraId="0300555C" w14:textId="258A68C8" w:rsidR="001C3DF1" w:rsidRPr="00FC5BD1" w:rsidRDefault="001C3DF1" w:rsidP="003C06D5">
      <w:pPr>
        <w:spacing w:after="240" w:line="360" w:lineRule="auto"/>
        <w:jc w:val="both"/>
        <w:rPr>
          <w:rFonts w:cstheme="minorHAnsi"/>
        </w:rPr>
      </w:pPr>
      <w:r w:rsidRPr="00FC5BD1">
        <w:rPr>
          <w:rFonts w:cstheme="minorHAnsi"/>
        </w:rPr>
        <w:t xml:space="preserve">Throughout this section, the changes that </w:t>
      </w:r>
      <w:r w:rsidR="00D34697" w:rsidRPr="00FC5BD1">
        <w:rPr>
          <w:rFonts w:cstheme="minorHAnsi"/>
        </w:rPr>
        <w:t>C</w:t>
      </w:r>
      <w:r w:rsidRPr="00FC5BD1">
        <w:rPr>
          <w:rFonts w:cstheme="minorHAnsi"/>
        </w:rPr>
        <w:t>entennials experienced during and after the pandemic</w:t>
      </w:r>
      <w:r w:rsidR="003D1E21" w:rsidRPr="00FC5BD1">
        <w:rPr>
          <w:rFonts w:cstheme="minorHAnsi"/>
        </w:rPr>
        <w:t xml:space="preserve"> have been </w:t>
      </w:r>
      <w:r w:rsidR="00720ED9" w:rsidRPr="00FC5BD1">
        <w:rPr>
          <w:rFonts w:cstheme="minorHAnsi"/>
        </w:rPr>
        <w:t>emphasized</w:t>
      </w:r>
      <w:r w:rsidRPr="00FC5BD1">
        <w:rPr>
          <w:rFonts w:cstheme="minorHAnsi"/>
        </w:rPr>
        <w:t xml:space="preserve">, </w:t>
      </w:r>
      <w:r w:rsidR="00720ED9" w:rsidRPr="00FC5BD1">
        <w:rPr>
          <w:rFonts w:cstheme="minorHAnsi"/>
        </w:rPr>
        <w:t xml:space="preserve">mostly </w:t>
      </w:r>
      <w:r w:rsidRPr="00FC5BD1">
        <w:rPr>
          <w:rFonts w:cstheme="minorHAnsi"/>
        </w:rPr>
        <w:t xml:space="preserve">due to the circumstances that the confinement demanded, and </w:t>
      </w:r>
      <w:r w:rsidR="00D34697" w:rsidRPr="00FC5BD1">
        <w:rPr>
          <w:rFonts w:cstheme="minorHAnsi"/>
        </w:rPr>
        <w:t>because of the</w:t>
      </w:r>
      <w:r w:rsidRPr="00FC5BD1">
        <w:rPr>
          <w:rFonts w:cstheme="minorHAnsi"/>
        </w:rPr>
        <w:t xml:space="preserve"> maturity </w:t>
      </w:r>
      <w:r w:rsidR="00D34697" w:rsidRPr="00FC5BD1">
        <w:rPr>
          <w:rFonts w:cstheme="minorHAnsi"/>
        </w:rPr>
        <w:t xml:space="preserve">that </w:t>
      </w:r>
      <w:r w:rsidRPr="00FC5BD1">
        <w:rPr>
          <w:rFonts w:cstheme="minorHAnsi"/>
        </w:rPr>
        <w:t xml:space="preserve">several </w:t>
      </w:r>
      <w:r w:rsidR="00D34697" w:rsidRPr="00FC5BD1">
        <w:rPr>
          <w:rFonts w:cstheme="minorHAnsi"/>
        </w:rPr>
        <w:t>C</w:t>
      </w:r>
      <w:r w:rsidRPr="00FC5BD1">
        <w:rPr>
          <w:rFonts w:cstheme="minorHAnsi"/>
        </w:rPr>
        <w:t xml:space="preserve">entennials </w:t>
      </w:r>
      <w:r w:rsidR="00D34697" w:rsidRPr="00FC5BD1">
        <w:rPr>
          <w:rFonts w:cstheme="minorHAnsi"/>
        </w:rPr>
        <w:t>experienced</w:t>
      </w:r>
      <w:r w:rsidRPr="00FC5BD1">
        <w:rPr>
          <w:rFonts w:cstheme="minorHAnsi"/>
        </w:rPr>
        <w:t xml:space="preserve"> </w:t>
      </w:r>
      <w:r w:rsidR="00D34697" w:rsidRPr="00FC5BD1">
        <w:rPr>
          <w:rFonts w:cstheme="minorHAnsi"/>
        </w:rPr>
        <w:t>as they transitioned</w:t>
      </w:r>
      <w:r w:rsidRPr="00FC5BD1">
        <w:rPr>
          <w:rFonts w:cstheme="minorHAnsi"/>
        </w:rPr>
        <w:t xml:space="preserve"> from adolescents to young adults. Considering the </w:t>
      </w:r>
      <w:r w:rsidR="003D1E21" w:rsidRPr="00FC5BD1">
        <w:rPr>
          <w:rFonts w:cstheme="minorHAnsi"/>
        </w:rPr>
        <w:t>previous</w:t>
      </w:r>
      <w:r w:rsidRPr="00FC5BD1">
        <w:rPr>
          <w:rFonts w:cstheme="minorHAnsi"/>
        </w:rPr>
        <w:t xml:space="preserve"> hypotheses, the last one </w:t>
      </w:r>
      <w:r w:rsidR="003D1E21" w:rsidRPr="00FC5BD1">
        <w:rPr>
          <w:rFonts w:cstheme="minorHAnsi"/>
        </w:rPr>
        <w:t>proposed is</w:t>
      </w:r>
      <w:r w:rsidRPr="00FC5BD1">
        <w:rPr>
          <w:rFonts w:cstheme="minorHAnsi"/>
        </w:rPr>
        <w:t>:</w:t>
      </w:r>
    </w:p>
    <w:p w14:paraId="62D96D65" w14:textId="7182E874" w:rsidR="001C3DF1" w:rsidRPr="00FC5BD1" w:rsidRDefault="001C3DF1" w:rsidP="003C06D5">
      <w:pPr>
        <w:spacing w:after="240" w:line="360" w:lineRule="auto"/>
        <w:jc w:val="both"/>
        <w:rPr>
          <w:rFonts w:cstheme="minorHAnsi"/>
          <w:i/>
          <w:iCs/>
        </w:rPr>
      </w:pPr>
      <w:r w:rsidRPr="00FC5BD1">
        <w:rPr>
          <w:rFonts w:cstheme="minorHAnsi"/>
          <w:i/>
          <w:iCs/>
        </w:rPr>
        <w:t>H</w:t>
      </w:r>
      <w:r w:rsidRPr="00FC5BD1">
        <w:rPr>
          <w:rFonts w:cstheme="minorHAnsi"/>
          <w:i/>
          <w:iCs/>
          <w:sz w:val="18"/>
          <w:szCs w:val="18"/>
        </w:rPr>
        <w:t>6</w:t>
      </w:r>
      <w:r w:rsidRPr="00FC5BD1">
        <w:rPr>
          <w:rFonts w:cstheme="minorHAnsi"/>
          <w:i/>
          <w:iCs/>
        </w:rPr>
        <w:t xml:space="preserve">: There are structural changes in the variables that explain </w:t>
      </w:r>
      <w:r w:rsidR="00E341C8" w:rsidRPr="00FC5BD1">
        <w:rPr>
          <w:rFonts w:cstheme="minorHAnsi"/>
          <w:i/>
          <w:iCs/>
        </w:rPr>
        <w:t>Gen Z’s</w:t>
      </w:r>
      <w:r w:rsidRPr="00FC5BD1">
        <w:rPr>
          <w:rFonts w:cstheme="minorHAnsi"/>
          <w:i/>
          <w:iCs/>
        </w:rPr>
        <w:t xml:space="preserve"> sustainable consumption during and after the pandemic.</w:t>
      </w:r>
    </w:p>
    <w:p w14:paraId="771A741B" w14:textId="11FAF977" w:rsidR="001C3DF1" w:rsidRPr="00FC5BD1" w:rsidRDefault="00CB0868" w:rsidP="00CB0868">
      <w:pPr>
        <w:pStyle w:val="Ttulo1"/>
        <w:numPr>
          <w:ilvl w:val="0"/>
          <w:numId w:val="2"/>
        </w:numPr>
        <w:spacing w:before="0" w:after="0"/>
        <w:rPr>
          <w:rFonts w:cstheme="minorHAnsi"/>
          <w:bCs/>
        </w:rPr>
      </w:pPr>
      <w:r w:rsidRPr="00FC5BD1">
        <w:rPr>
          <w:rFonts w:cstheme="minorHAnsi"/>
          <w:bCs/>
        </w:rPr>
        <w:t>Method</w:t>
      </w:r>
    </w:p>
    <w:p w14:paraId="3B4EB1AB" w14:textId="2A4795F1" w:rsidR="001C3DF1" w:rsidRPr="00FC5BD1" w:rsidRDefault="001C3DF1" w:rsidP="003C06D5">
      <w:pPr>
        <w:spacing w:after="240" w:line="360" w:lineRule="auto"/>
        <w:jc w:val="both"/>
        <w:rPr>
          <w:rFonts w:cstheme="minorHAnsi"/>
        </w:rPr>
      </w:pPr>
      <w:r w:rsidRPr="00FC5BD1">
        <w:rPr>
          <w:rFonts w:cstheme="minorHAnsi"/>
        </w:rPr>
        <w:t xml:space="preserve">Despite the large number of studies </w:t>
      </w:r>
      <w:r w:rsidR="004118C6" w:rsidRPr="00FC5BD1">
        <w:rPr>
          <w:rFonts w:cstheme="minorHAnsi"/>
        </w:rPr>
        <w:t xml:space="preserve">that have been conducted </w:t>
      </w:r>
      <w:r w:rsidRPr="00FC5BD1">
        <w:rPr>
          <w:rFonts w:cstheme="minorHAnsi"/>
        </w:rPr>
        <w:t xml:space="preserve">on sustainable consumption based on the Theory of Planned Behavior, it is unknown whether the factors involved change over time, especially </w:t>
      </w:r>
      <w:r w:rsidR="00D871CA" w:rsidRPr="00FC5BD1">
        <w:rPr>
          <w:rFonts w:cstheme="minorHAnsi"/>
        </w:rPr>
        <w:t xml:space="preserve">in </w:t>
      </w:r>
      <w:r w:rsidRPr="00FC5BD1">
        <w:rPr>
          <w:rFonts w:cstheme="minorHAnsi"/>
        </w:rPr>
        <w:t xml:space="preserve">the </w:t>
      </w:r>
      <w:r w:rsidR="00720ED9" w:rsidRPr="00FC5BD1">
        <w:rPr>
          <w:rFonts w:cstheme="minorHAnsi"/>
        </w:rPr>
        <w:t>generation</w:t>
      </w:r>
      <w:r w:rsidR="004118C6" w:rsidRPr="00FC5BD1">
        <w:rPr>
          <w:rFonts w:cstheme="minorHAnsi"/>
        </w:rPr>
        <w:t xml:space="preserve"> of adolescents</w:t>
      </w:r>
      <w:r w:rsidRPr="00FC5BD1">
        <w:rPr>
          <w:rFonts w:cstheme="minorHAnsi"/>
        </w:rPr>
        <w:t xml:space="preserve"> who are shaping </w:t>
      </w:r>
      <w:r w:rsidR="00720ED9" w:rsidRPr="00FC5BD1">
        <w:rPr>
          <w:rFonts w:cstheme="minorHAnsi"/>
        </w:rPr>
        <w:t>their</w:t>
      </w:r>
      <w:r w:rsidRPr="00FC5BD1">
        <w:rPr>
          <w:rFonts w:cstheme="minorHAnsi"/>
        </w:rPr>
        <w:t xml:space="preserve"> personality. The </w:t>
      </w:r>
      <w:r w:rsidR="009E4B29" w:rsidRPr="00FC5BD1">
        <w:rPr>
          <w:rFonts w:cstheme="minorHAnsi"/>
        </w:rPr>
        <w:t>objective</w:t>
      </w:r>
      <w:r w:rsidRPr="00FC5BD1">
        <w:rPr>
          <w:rFonts w:cstheme="minorHAnsi"/>
        </w:rPr>
        <w:t xml:space="preserve"> of this work is to analyze the evolution of sustainable </w:t>
      </w:r>
      <w:r w:rsidR="008049F0" w:rsidRPr="00FC5BD1">
        <w:rPr>
          <w:rFonts w:cstheme="minorHAnsi"/>
        </w:rPr>
        <w:t xml:space="preserve">food </w:t>
      </w:r>
      <w:r w:rsidRPr="00FC5BD1">
        <w:rPr>
          <w:rFonts w:cstheme="minorHAnsi"/>
        </w:rPr>
        <w:t xml:space="preserve">consumption factors in </w:t>
      </w:r>
      <w:proofErr w:type="gramStart"/>
      <w:r w:rsidR="004118C6" w:rsidRPr="00FC5BD1">
        <w:rPr>
          <w:rFonts w:cstheme="minorHAnsi"/>
        </w:rPr>
        <w:t>C</w:t>
      </w:r>
      <w:r w:rsidR="00D871CA" w:rsidRPr="00FC5BD1">
        <w:rPr>
          <w:rFonts w:cstheme="minorHAnsi"/>
        </w:rPr>
        <w:t>entennials</w:t>
      </w:r>
      <w:proofErr w:type="gramEnd"/>
      <w:r w:rsidRPr="00FC5BD1">
        <w:rPr>
          <w:rFonts w:cstheme="minorHAnsi"/>
        </w:rPr>
        <w:t xml:space="preserve"> during and after the pandemic. The hypotheses </w:t>
      </w:r>
      <w:r w:rsidRPr="00FC5BD1">
        <w:rPr>
          <w:rFonts w:cstheme="minorHAnsi"/>
        </w:rPr>
        <w:lastRenderedPageBreak/>
        <w:t xml:space="preserve">explained in the previous section are </w:t>
      </w:r>
      <w:r w:rsidR="00D871CA" w:rsidRPr="00FC5BD1">
        <w:rPr>
          <w:rFonts w:cstheme="minorHAnsi"/>
        </w:rPr>
        <w:t>exhibited</w:t>
      </w:r>
      <w:r w:rsidRPr="00FC5BD1">
        <w:rPr>
          <w:rFonts w:cstheme="minorHAnsi"/>
        </w:rPr>
        <w:t xml:space="preserve"> in </w:t>
      </w:r>
      <w:r w:rsidR="00FD73A4" w:rsidRPr="00FC5BD1">
        <w:rPr>
          <w:rFonts w:cstheme="minorHAnsi"/>
        </w:rPr>
        <w:t>F</w:t>
      </w:r>
      <w:r w:rsidRPr="00FC5BD1">
        <w:rPr>
          <w:rFonts w:cstheme="minorHAnsi"/>
        </w:rPr>
        <w:t xml:space="preserve">igure 1; Hypothesis 4 is not shown </w:t>
      </w:r>
      <w:r w:rsidR="00454AA0" w:rsidRPr="00FC5BD1">
        <w:rPr>
          <w:rFonts w:cstheme="minorHAnsi"/>
        </w:rPr>
        <w:t>since</w:t>
      </w:r>
      <w:r w:rsidRPr="00FC5BD1">
        <w:rPr>
          <w:rFonts w:cstheme="minorHAnsi"/>
        </w:rPr>
        <w:t xml:space="preserve"> it is intended to demonstrate that purchase intention does not contribute to the explained variance of </w:t>
      </w:r>
      <w:r w:rsidR="00FD73A4" w:rsidRPr="00FC5BD1">
        <w:rPr>
          <w:rFonts w:cstheme="minorHAnsi"/>
        </w:rPr>
        <w:t>C</w:t>
      </w:r>
      <w:r w:rsidR="00454AA0" w:rsidRPr="00FC5BD1">
        <w:rPr>
          <w:rFonts w:cstheme="minorHAnsi"/>
        </w:rPr>
        <w:t>entennials’</w:t>
      </w:r>
      <w:r w:rsidRPr="00FC5BD1">
        <w:rPr>
          <w:rFonts w:cstheme="minorHAnsi"/>
        </w:rPr>
        <w:t xml:space="preserve"> sustainable consumption.</w:t>
      </w:r>
    </w:p>
    <w:p w14:paraId="64268521" w14:textId="5416D512" w:rsidR="001C3DF1" w:rsidRPr="00FC5BD1" w:rsidRDefault="001C3DF1" w:rsidP="00AF76C3">
      <w:pPr>
        <w:spacing w:line="360" w:lineRule="auto"/>
        <w:jc w:val="both"/>
        <w:rPr>
          <w:rFonts w:cstheme="minorHAnsi"/>
        </w:rPr>
      </w:pPr>
      <w:r w:rsidRPr="00FC5BD1">
        <w:rPr>
          <w:rFonts w:cstheme="minorHAnsi"/>
          <w:b/>
          <w:bCs/>
        </w:rPr>
        <w:t xml:space="preserve">Figure 1. </w:t>
      </w:r>
      <w:r w:rsidRPr="00FC5BD1">
        <w:rPr>
          <w:rFonts w:cstheme="minorHAnsi"/>
        </w:rPr>
        <w:t>Hypothetical Model</w:t>
      </w:r>
    </w:p>
    <w:p w14:paraId="091709BC" w14:textId="4BEDDC45" w:rsidR="001C3DF1" w:rsidRPr="00FC5BD1" w:rsidRDefault="008F0FB4" w:rsidP="003C06D5">
      <w:pPr>
        <w:spacing w:after="240" w:line="360" w:lineRule="auto"/>
        <w:jc w:val="both"/>
        <w:rPr>
          <w:rFonts w:cstheme="minorHAnsi"/>
        </w:rPr>
      </w:pPr>
      <w:r w:rsidRPr="00FC5BD1">
        <w:rPr>
          <w:rFonts w:cstheme="minorHAnsi"/>
          <w:noProof/>
        </w:rPr>
        <w:drawing>
          <wp:inline distT="0" distB="0" distL="0" distR="0" wp14:anchorId="7F283208" wp14:editId="2057E877">
            <wp:extent cx="4941165" cy="5092117"/>
            <wp:effectExtent l="0" t="0" r="0" b="0"/>
            <wp:docPr id="14175402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540251" name=""/>
                    <pic:cNvPicPr/>
                  </pic:nvPicPr>
                  <pic:blipFill>
                    <a:blip r:embed="rId8"/>
                    <a:stretch>
                      <a:fillRect/>
                    </a:stretch>
                  </pic:blipFill>
                  <pic:spPr>
                    <a:xfrm>
                      <a:off x="0" y="0"/>
                      <a:ext cx="4941839" cy="5092812"/>
                    </a:xfrm>
                    <a:prstGeom prst="rect">
                      <a:avLst/>
                    </a:prstGeom>
                  </pic:spPr>
                </pic:pic>
              </a:graphicData>
            </a:graphic>
          </wp:inline>
        </w:drawing>
      </w:r>
    </w:p>
    <w:p w14:paraId="1D60F536" w14:textId="79AEC568" w:rsidR="001C3DF1" w:rsidRPr="00FC5BD1" w:rsidRDefault="001C3DF1" w:rsidP="003C06D5">
      <w:pPr>
        <w:spacing w:after="240" w:line="360" w:lineRule="auto"/>
        <w:rPr>
          <w:rFonts w:cstheme="minorHAnsi"/>
        </w:rPr>
      </w:pPr>
      <w:r w:rsidRPr="00FC5BD1">
        <w:rPr>
          <w:rFonts w:cstheme="minorHAnsi"/>
        </w:rPr>
        <w:t xml:space="preserve">Source: </w:t>
      </w:r>
      <w:r w:rsidR="00454AA0" w:rsidRPr="00FC5BD1">
        <w:rPr>
          <w:rFonts w:cstheme="minorHAnsi"/>
        </w:rPr>
        <w:t>Modification</w:t>
      </w:r>
      <w:r w:rsidRPr="00FC5BD1">
        <w:rPr>
          <w:rFonts w:cstheme="minorHAnsi"/>
        </w:rPr>
        <w:t xml:space="preserve"> to the </w:t>
      </w:r>
      <w:r w:rsidR="00454AA0" w:rsidRPr="00FC5BD1">
        <w:rPr>
          <w:rFonts w:cstheme="minorHAnsi"/>
        </w:rPr>
        <w:t>original</w:t>
      </w:r>
      <w:r w:rsidRPr="00FC5BD1">
        <w:rPr>
          <w:rFonts w:cstheme="minorHAnsi"/>
        </w:rPr>
        <w:t xml:space="preserve"> model by </w:t>
      </w:r>
      <w:proofErr w:type="spellStart"/>
      <w:r w:rsidRPr="00FC5BD1">
        <w:rPr>
          <w:rFonts w:cstheme="minorHAnsi"/>
        </w:rPr>
        <w:t>Azjen</w:t>
      </w:r>
      <w:proofErr w:type="spellEnd"/>
      <w:r w:rsidRPr="00FC5BD1">
        <w:rPr>
          <w:rFonts w:cstheme="minorHAnsi"/>
        </w:rPr>
        <w:t xml:space="preserve"> (</w:t>
      </w:r>
      <w:r w:rsidRPr="00FC5BD1">
        <w:rPr>
          <w:rFonts w:cstheme="minorHAnsi"/>
          <w:color w:val="C00000"/>
        </w:rPr>
        <w:t>1991</w:t>
      </w:r>
      <w:r w:rsidRPr="00FC5BD1">
        <w:rPr>
          <w:rFonts w:cstheme="minorHAnsi"/>
        </w:rPr>
        <w:t>)</w:t>
      </w:r>
    </w:p>
    <w:p w14:paraId="4E4B53EF" w14:textId="49756987" w:rsidR="001C3DF1" w:rsidRPr="00FC5BD1" w:rsidRDefault="00DE6DEE" w:rsidP="003C06D5">
      <w:pPr>
        <w:spacing w:after="240" w:line="360" w:lineRule="auto"/>
        <w:jc w:val="both"/>
        <w:rPr>
          <w:rFonts w:cstheme="minorHAnsi"/>
        </w:rPr>
      </w:pPr>
      <w:proofErr w:type="gramStart"/>
      <w:r w:rsidRPr="00FC5BD1">
        <w:rPr>
          <w:rFonts w:cstheme="minorHAnsi"/>
        </w:rPr>
        <w:t>In order to</w:t>
      </w:r>
      <w:proofErr w:type="gramEnd"/>
      <w:r w:rsidRPr="00FC5BD1">
        <w:rPr>
          <w:rFonts w:cstheme="minorHAnsi"/>
        </w:rPr>
        <w:t xml:space="preserve"> reach the proposed objective, a</w:t>
      </w:r>
      <w:r w:rsidR="001C3DF1" w:rsidRPr="00FC5BD1">
        <w:rPr>
          <w:rFonts w:cstheme="minorHAnsi"/>
        </w:rPr>
        <w:t xml:space="preserve"> field, applied, quantitative and correlational research was carried out with a non-experimental longitudinal design. A questionnaire was </w:t>
      </w:r>
      <w:r w:rsidR="001C3DF1" w:rsidRPr="00FC5BD1">
        <w:rPr>
          <w:rFonts w:cstheme="minorHAnsi"/>
        </w:rPr>
        <w:lastRenderedPageBreak/>
        <w:t xml:space="preserve">applied to young people born between 2000 and 2007 who live in a city in central Mexico. For the first moment analyzed, 310 </w:t>
      </w:r>
      <w:r w:rsidR="00FD3DF6" w:rsidRPr="00FC5BD1">
        <w:rPr>
          <w:rFonts w:cstheme="minorHAnsi"/>
        </w:rPr>
        <w:t>observations</w:t>
      </w:r>
      <w:r w:rsidR="001C3DF1" w:rsidRPr="00FC5BD1">
        <w:rPr>
          <w:rFonts w:cstheme="minorHAnsi"/>
        </w:rPr>
        <w:t xml:space="preserve"> were </w:t>
      </w:r>
      <w:r w:rsidR="00FD3DF6" w:rsidRPr="00FC5BD1">
        <w:rPr>
          <w:rFonts w:cstheme="minorHAnsi"/>
        </w:rPr>
        <w:t>obtained</w:t>
      </w:r>
      <w:r w:rsidR="001C3DF1" w:rsidRPr="00FC5BD1">
        <w:rPr>
          <w:rFonts w:cstheme="minorHAnsi"/>
        </w:rPr>
        <w:t xml:space="preserve"> between January and April 2021 and for the second moment 352 </w:t>
      </w:r>
      <w:r w:rsidR="00FD3DF6" w:rsidRPr="00FC5BD1">
        <w:rPr>
          <w:rFonts w:cstheme="minorHAnsi"/>
        </w:rPr>
        <w:t>observations</w:t>
      </w:r>
      <w:r w:rsidR="001C3DF1" w:rsidRPr="00FC5BD1">
        <w:rPr>
          <w:rFonts w:cstheme="minorHAnsi"/>
        </w:rPr>
        <w:t xml:space="preserve"> in the same period but in 2023. </w:t>
      </w:r>
      <w:r w:rsidR="00135B35" w:rsidRPr="00FC5BD1">
        <w:rPr>
          <w:rFonts w:cstheme="minorHAnsi"/>
        </w:rPr>
        <w:t>Th</w:t>
      </w:r>
      <w:r w:rsidR="001C3DF1" w:rsidRPr="00FC5BD1">
        <w:rPr>
          <w:rFonts w:cstheme="minorHAnsi"/>
        </w:rPr>
        <w:t>e data</w:t>
      </w:r>
      <w:r w:rsidR="00135B35" w:rsidRPr="00FC5BD1">
        <w:rPr>
          <w:rFonts w:cstheme="minorHAnsi"/>
        </w:rPr>
        <w:t xml:space="preserve"> was collected face-to-face</w:t>
      </w:r>
      <w:r w:rsidR="001C3DF1" w:rsidRPr="00FC5BD1">
        <w:rPr>
          <w:rFonts w:cstheme="minorHAnsi"/>
        </w:rPr>
        <w:t xml:space="preserve"> </w:t>
      </w:r>
      <w:r w:rsidR="00135B35" w:rsidRPr="00FC5BD1">
        <w:rPr>
          <w:rFonts w:cstheme="minorHAnsi"/>
        </w:rPr>
        <w:t>using a</w:t>
      </w:r>
      <w:r w:rsidR="001C3DF1" w:rsidRPr="00FC5BD1">
        <w:rPr>
          <w:rFonts w:cstheme="minorHAnsi"/>
        </w:rPr>
        <w:t xml:space="preserve"> google forms document distributed by </w:t>
      </w:r>
      <w:r w:rsidR="008711CA" w:rsidRPr="00FC5BD1">
        <w:rPr>
          <w:rFonts w:cstheme="minorHAnsi"/>
        </w:rPr>
        <w:t>social media</w:t>
      </w:r>
      <w:r w:rsidR="00135B35" w:rsidRPr="00FC5BD1">
        <w:rPr>
          <w:rFonts w:cstheme="minorHAnsi"/>
        </w:rPr>
        <w:t>.</w:t>
      </w:r>
    </w:p>
    <w:p w14:paraId="00464733" w14:textId="4BF79504" w:rsidR="001948AD" w:rsidRPr="00FC5BD1" w:rsidRDefault="001948AD" w:rsidP="003C06D5">
      <w:pPr>
        <w:spacing w:after="240" w:line="360" w:lineRule="auto"/>
        <w:jc w:val="both"/>
        <w:rPr>
          <w:rFonts w:cstheme="minorHAnsi"/>
        </w:rPr>
      </w:pPr>
      <w:r w:rsidRPr="00FC5BD1">
        <w:rPr>
          <w:rFonts w:cstheme="minorHAnsi"/>
        </w:rPr>
        <w:t>The questionnaire used is an adaptation of the original</w:t>
      </w:r>
      <w:r w:rsidR="00DE6DEE" w:rsidRPr="00FC5BD1">
        <w:rPr>
          <w:rFonts w:cstheme="minorHAnsi"/>
        </w:rPr>
        <w:t xml:space="preserve"> ones</w:t>
      </w:r>
      <w:r w:rsidRPr="00FC5BD1">
        <w:rPr>
          <w:rFonts w:cstheme="minorHAnsi"/>
        </w:rPr>
        <w:t xml:space="preserve"> by González, </w:t>
      </w:r>
      <w:proofErr w:type="spellStart"/>
      <w:r w:rsidRPr="00FC5BD1">
        <w:rPr>
          <w:rFonts w:cstheme="minorHAnsi"/>
        </w:rPr>
        <w:t>Korchia</w:t>
      </w:r>
      <w:proofErr w:type="spellEnd"/>
      <w:r w:rsidRPr="00FC5BD1">
        <w:rPr>
          <w:rFonts w:cstheme="minorHAnsi"/>
        </w:rPr>
        <w:t>, Menuet and Urbain (</w:t>
      </w:r>
      <w:r w:rsidRPr="00FC5BD1">
        <w:rPr>
          <w:rFonts w:cstheme="minorHAnsi"/>
          <w:color w:val="C00000"/>
        </w:rPr>
        <w:t>2009</w:t>
      </w:r>
      <w:r w:rsidRPr="00FC5BD1">
        <w:rPr>
          <w:rFonts w:cstheme="minorHAnsi"/>
        </w:rPr>
        <w:t>) and Matharu, et</w:t>
      </w:r>
      <w:r w:rsidR="00135B35" w:rsidRPr="00FC5BD1">
        <w:rPr>
          <w:rFonts w:cstheme="minorHAnsi"/>
        </w:rPr>
        <w:t xml:space="preserve"> al. </w:t>
      </w:r>
      <w:r w:rsidRPr="00FC5BD1">
        <w:rPr>
          <w:rFonts w:cstheme="minorHAnsi"/>
        </w:rPr>
        <w:t>(</w:t>
      </w:r>
      <w:r w:rsidRPr="00FC5BD1">
        <w:rPr>
          <w:rFonts w:cstheme="minorHAnsi"/>
          <w:color w:val="C00000"/>
        </w:rPr>
        <w:t>2020</w:t>
      </w:r>
      <w:r w:rsidRPr="00FC5BD1">
        <w:rPr>
          <w:rFonts w:cstheme="minorHAnsi"/>
        </w:rPr>
        <w:t>)</w:t>
      </w:r>
      <w:r w:rsidR="00C55D50" w:rsidRPr="00FC5BD1">
        <w:rPr>
          <w:rFonts w:cstheme="minorHAnsi"/>
        </w:rPr>
        <w:t xml:space="preserve"> (</w:t>
      </w:r>
      <w:r w:rsidR="00123CBB" w:rsidRPr="00FC5BD1">
        <w:rPr>
          <w:rFonts w:cstheme="minorHAnsi"/>
        </w:rPr>
        <w:t>T</w:t>
      </w:r>
      <w:r w:rsidR="00C55D50" w:rsidRPr="00FC5BD1">
        <w:rPr>
          <w:rFonts w:cstheme="minorHAnsi"/>
        </w:rPr>
        <w:t>able 1)</w:t>
      </w:r>
      <w:r w:rsidRPr="00FC5BD1">
        <w:rPr>
          <w:rFonts w:cstheme="minorHAnsi"/>
        </w:rPr>
        <w:t>, verifying its reliability and validity through Cronbach's Alpha and Exploratory Factor Analysis respectively.</w:t>
      </w:r>
      <w:r w:rsidR="00C55D50" w:rsidRPr="00FC5BD1">
        <w:rPr>
          <w:rFonts w:cstheme="minorHAnsi"/>
        </w:rPr>
        <w:t xml:space="preserve"> </w:t>
      </w:r>
    </w:p>
    <w:p w14:paraId="7CE8553D" w14:textId="2BA01A47" w:rsidR="00C55D50" w:rsidRPr="00FC5BD1" w:rsidRDefault="00C55D50" w:rsidP="00C42387">
      <w:pPr>
        <w:spacing w:line="360" w:lineRule="auto"/>
        <w:rPr>
          <w:rFonts w:cstheme="minorHAnsi"/>
          <w:b/>
          <w:bCs/>
        </w:rPr>
      </w:pPr>
      <w:r w:rsidRPr="00FC5BD1">
        <w:rPr>
          <w:rFonts w:cstheme="minorHAnsi"/>
          <w:b/>
          <w:bCs/>
        </w:rPr>
        <w:t>Table 1</w:t>
      </w:r>
      <w:r w:rsidR="00C42387" w:rsidRPr="00FC5BD1">
        <w:rPr>
          <w:rFonts w:cstheme="minorHAnsi"/>
          <w:b/>
          <w:bCs/>
        </w:rPr>
        <w:t>.</w:t>
      </w:r>
    </w:p>
    <w:p w14:paraId="581C00CF" w14:textId="21EAAD1E" w:rsidR="00C42387" w:rsidRPr="00FC5BD1" w:rsidRDefault="00C42387" w:rsidP="00C42387">
      <w:pPr>
        <w:spacing w:line="360" w:lineRule="auto"/>
        <w:rPr>
          <w:rFonts w:cstheme="minorHAnsi"/>
        </w:rPr>
      </w:pPr>
      <w:r w:rsidRPr="00FC5BD1">
        <w:rPr>
          <w:rFonts w:cstheme="minorHAnsi"/>
        </w:rPr>
        <w:t xml:space="preserve">Applied questionnaire </w:t>
      </w:r>
    </w:p>
    <w:p w14:paraId="643993B3" w14:textId="77777777" w:rsidR="009E4B29" w:rsidRPr="00FC5BD1" w:rsidRDefault="009E4B29" w:rsidP="009E4B29">
      <w:pPr>
        <w:spacing w:before="120"/>
        <w:rPr>
          <w:rFonts w:cstheme="minorHAnsi"/>
        </w:rPr>
      </w:pPr>
      <w:r w:rsidRPr="00FC5BD1">
        <w:rPr>
          <w:rFonts w:cstheme="minorHAnsi"/>
          <w:noProof/>
        </w:rPr>
        <w:drawing>
          <wp:inline distT="0" distB="0" distL="0" distR="0" wp14:anchorId="63D3D0B2" wp14:editId="79FCC4AB">
            <wp:extent cx="3659820" cy="4177718"/>
            <wp:effectExtent l="0" t="0" r="0" b="635"/>
            <wp:docPr id="3603679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367917" name=""/>
                    <pic:cNvPicPr/>
                  </pic:nvPicPr>
                  <pic:blipFill>
                    <a:blip r:embed="rId9"/>
                    <a:stretch>
                      <a:fillRect/>
                    </a:stretch>
                  </pic:blipFill>
                  <pic:spPr>
                    <a:xfrm>
                      <a:off x="0" y="0"/>
                      <a:ext cx="3669343" cy="4188588"/>
                    </a:xfrm>
                    <a:prstGeom prst="rect">
                      <a:avLst/>
                    </a:prstGeom>
                  </pic:spPr>
                </pic:pic>
              </a:graphicData>
            </a:graphic>
          </wp:inline>
        </w:drawing>
      </w:r>
      <w:r w:rsidRPr="00FC5BD1">
        <w:rPr>
          <w:rFonts w:cstheme="minorHAnsi"/>
        </w:rPr>
        <w:t xml:space="preserve"> </w:t>
      </w:r>
    </w:p>
    <w:p w14:paraId="099DAA59" w14:textId="67207BC8" w:rsidR="00C42387" w:rsidRPr="00FC5BD1" w:rsidRDefault="00C42387" w:rsidP="00C42387">
      <w:pPr>
        <w:spacing w:before="120" w:after="240" w:line="360" w:lineRule="auto"/>
        <w:rPr>
          <w:rFonts w:cstheme="minorHAnsi"/>
        </w:rPr>
      </w:pPr>
      <w:r w:rsidRPr="00FC5BD1">
        <w:rPr>
          <w:rFonts w:cstheme="minorHAnsi"/>
        </w:rPr>
        <w:t xml:space="preserve">Source: Modification to the original questionnaire by González, </w:t>
      </w:r>
      <w:proofErr w:type="spellStart"/>
      <w:r w:rsidRPr="00FC5BD1">
        <w:rPr>
          <w:rFonts w:cstheme="minorHAnsi"/>
        </w:rPr>
        <w:t>Korchia</w:t>
      </w:r>
      <w:proofErr w:type="spellEnd"/>
      <w:r w:rsidRPr="00FC5BD1">
        <w:rPr>
          <w:rFonts w:cstheme="minorHAnsi"/>
        </w:rPr>
        <w:t>, Menuet and Urbain (</w:t>
      </w:r>
      <w:r w:rsidRPr="00FC5BD1">
        <w:rPr>
          <w:rFonts w:cstheme="minorHAnsi"/>
          <w:color w:val="C00000"/>
        </w:rPr>
        <w:t>2009</w:t>
      </w:r>
      <w:r w:rsidRPr="00FC5BD1">
        <w:rPr>
          <w:rFonts w:cstheme="minorHAnsi"/>
        </w:rPr>
        <w:t>) and Matharu, et al. (</w:t>
      </w:r>
      <w:r w:rsidRPr="00FC5BD1">
        <w:rPr>
          <w:rFonts w:cstheme="minorHAnsi"/>
          <w:color w:val="C00000"/>
        </w:rPr>
        <w:t>2020</w:t>
      </w:r>
      <w:r w:rsidRPr="00FC5BD1">
        <w:rPr>
          <w:rFonts w:cstheme="minorHAnsi"/>
        </w:rPr>
        <w:t>).</w:t>
      </w:r>
    </w:p>
    <w:p w14:paraId="302619C1" w14:textId="419E9C8B" w:rsidR="001948AD" w:rsidRPr="00FC5BD1" w:rsidRDefault="001948AD" w:rsidP="003C06D5">
      <w:pPr>
        <w:spacing w:after="240" w:line="360" w:lineRule="auto"/>
        <w:jc w:val="both"/>
        <w:rPr>
          <w:rFonts w:cstheme="minorHAnsi"/>
        </w:rPr>
      </w:pPr>
      <w:r w:rsidRPr="00FC5BD1">
        <w:rPr>
          <w:rFonts w:cstheme="minorHAnsi"/>
        </w:rPr>
        <w:lastRenderedPageBreak/>
        <w:t>The population is made up of people born between 2000 and 2007 who live in a central Mexic</w:t>
      </w:r>
      <w:r w:rsidR="00DC23AA" w:rsidRPr="00FC5BD1">
        <w:rPr>
          <w:rFonts w:cstheme="minorHAnsi"/>
        </w:rPr>
        <w:t>an city with</w:t>
      </w:r>
      <w:r w:rsidRPr="00FC5BD1">
        <w:rPr>
          <w:rFonts w:cstheme="minorHAnsi"/>
        </w:rPr>
        <w:t xml:space="preserve"> 157,635 inhabitants </w:t>
      </w:r>
      <w:r w:rsidR="00DC23AA" w:rsidRPr="00FC5BD1">
        <w:rPr>
          <w:rFonts w:cstheme="minorHAnsi"/>
        </w:rPr>
        <w:t xml:space="preserve">according to official figures </w:t>
      </w:r>
      <w:r w:rsidRPr="00FC5BD1">
        <w:rPr>
          <w:rFonts w:cstheme="minorHAnsi"/>
        </w:rPr>
        <w:t xml:space="preserve">(Toluca City Council, </w:t>
      </w:r>
      <w:r w:rsidRPr="00FC5BD1">
        <w:rPr>
          <w:rFonts w:cstheme="minorHAnsi"/>
          <w:color w:val="C00000"/>
        </w:rPr>
        <w:t>2021</w:t>
      </w:r>
      <w:r w:rsidRPr="00FC5BD1">
        <w:rPr>
          <w:rFonts w:cstheme="minorHAnsi"/>
        </w:rPr>
        <w:t>). The sample was non-probabilistic and</w:t>
      </w:r>
      <w:r w:rsidR="00DC23AA" w:rsidRPr="00FC5BD1">
        <w:rPr>
          <w:rFonts w:cstheme="minorHAnsi"/>
        </w:rPr>
        <w:t xml:space="preserve"> </w:t>
      </w:r>
      <w:r w:rsidR="00870C34" w:rsidRPr="00FC5BD1">
        <w:rPr>
          <w:rFonts w:cstheme="minorHAnsi"/>
        </w:rPr>
        <w:t>by</w:t>
      </w:r>
      <w:r w:rsidRPr="00FC5BD1">
        <w:rPr>
          <w:rFonts w:cstheme="minorHAnsi"/>
        </w:rPr>
        <w:t xml:space="preserve"> convenience, as it was </w:t>
      </w:r>
      <w:r w:rsidR="00DC23AA" w:rsidRPr="00FC5BD1">
        <w:rPr>
          <w:rFonts w:cstheme="minorHAnsi"/>
        </w:rPr>
        <w:t>integrated with</w:t>
      </w:r>
      <w:r w:rsidRPr="00FC5BD1">
        <w:rPr>
          <w:rFonts w:cstheme="minorHAnsi"/>
        </w:rPr>
        <w:t xml:space="preserve"> people who agreed to answer the survey. However, the random sample size was calculated to have an approximate number of </w:t>
      </w:r>
      <w:r w:rsidR="00DC23AA" w:rsidRPr="00FC5BD1">
        <w:rPr>
          <w:rFonts w:cstheme="minorHAnsi"/>
        </w:rPr>
        <w:t xml:space="preserve">the </w:t>
      </w:r>
      <w:r w:rsidRPr="00FC5BD1">
        <w:rPr>
          <w:rFonts w:cstheme="minorHAnsi"/>
        </w:rPr>
        <w:t>minimum surveys that would have to be collected. With a confidence level of 95% and a margin of error of 5%, a sample size of 384 people was calculated. By 2021, the 310 questionnaires collected represent a response rate of 81% and by 2023 they represent 92%.</w:t>
      </w:r>
    </w:p>
    <w:p w14:paraId="483E6EF7" w14:textId="000C5D28" w:rsidR="001948AD" w:rsidRPr="00FC5BD1" w:rsidRDefault="003C3D5A" w:rsidP="003C06D5">
      <w:pPr>
        <w:spacing w:after="240" w:line="360" w:lineRule="auto"/>
        <w:jc w:val="both"/>
        <w:rPr>
          <w:rFonts w:cstheme="minorHAnsi"/>
        </w:rPr>
      </w:pPr>
      <w:r w:rsidRPr="00FC5BD1">
        <w:rPr>
          <w:rFonts w:cstheme="minorHAnsi"/>
        </w:rPr>
        <w:t>Composites variables</w:t>
      </w:r>
      <w:r w:rsidR="001948AD" w:rsidRPr="00FC5BD1">
        <w:rPr>
          <w:rFonts w:cstheme="minorHAnsi"/>
        </w:rPr>
        <w:t xml:space="preserve"> were formed from the </w:t>
      </w:r>
      <w:r w:rsidR="006774E6" w:rsidRPr="00FC5BD1">
        <w:rPr>
          <w:rFonts w:cstheme="minorHAnsi"/>
        </w:rPr>
        <w:t>average</w:t>
      </w:r>
      <w:r w:rsidR="001948AD" w:rsidRPr="00FC5BD1">
        <w:rPr>
          <w:rFonts w:cstheme="minorHAnsi"/>
        </w:rPr>
        <w:t xml:space="preserve"> responses </w:t>
      </w:r>
      <w:r w:rsidR="00656826" w:rsidRPr="00FC5BD1">
        <w:rPr>
          <w:rFonts w:cstheme="minorHAnsi"/>
        </w:rPr>
        <w:t>of</w:t>
      </w:r>
      <w:r w:rsidR="001948AD" w:rsidRPr="00FC5BD1">
        <w:rPr>
          <w:rFonts w:cstheme="minorHAnsi"/>
        </w:rPr>
        <w:t xml:space="preserve"> the group of questions that measure each variable. </w:t>
      </w:r>
      <w:r w:rsidR="00656826" w:rsidRPr="00FC5BD1">
        <w:rPr>
          <w:rFonts w:cstheme="minorHAnsi"/>
        </w:rPr>
        <w:t>The</w:t>
      </w:r>
      <w:r w:rsidR="001948AD" w:rsidRPr="00FC5BD1">
        <w:rPr>
          <w:rFonts w:cstheme="minorHAnsi"/>
        </w:rPr>
        <w:t xml:space="preserve"> results were analyzed using the SPSS 23.0 software.</w:t>
      </w:r>
    </w:p>
    <w:p w14:paraId="1D26B8D8" w14:textId="551F304E" w:rsidR="001948AD" w:rsidRPr="00FC5BD1" w:rsidRDefault="00CB0868" w:rsidP="00CB0868">
      <w:pPr>
        <w:pStyle w:val="Ttulo1"/>
        <w:numPr>
          <w:ilvl w:val="0"/>
          <w:numId w:val="2"/>
        </w:numPr>
        <w:spacing w:before="0" w:after="0"/>
        <w:rPr>
          <w:rFonts w:cstheme="minorHAnsi"/>
          <w:bCs/>
        </w:rPr>
      </w:pPr>
      <w:r w:rsidRPr="00FC5BD1">
        <w:rPr>
          <w:rFonts w:cstheme="minorHAnsi"/>
          <w:bCs/>
        </w:rPr>
        <w:t>Results</w:t>
      </w:r>
    </w:p>
    <w:p w14:paraId="0E9A4BE6" w14:textId="014176C1" w:rsidR="001948AD" w:rsidRPr="00FC5BD1" w:rsidRDefault="001948AD" w:rsidP="003C06D5">
      <w:pPr>
        <w:spacing w:after="240" w:line="360" w:lineRule="auto"/>
        <w:jc w:val="both"/>
        <w:rPr>
          <w:rFonts w:cstheme="minorHAnsi"/>
        </w:rPr>
      </w:pPr>
      <w:r w:rsidRPr="00FC5BD1">
        <w:rPr>
          <w:rFonts w:cstheme="minorHAnsi"/>
        </w:rPr>
        <w:t>The results described below consider four aspects: the instrument, the descript</w:t>
      </w:r>
      <w:r w:rsidR="00656826" w:rsidRPr="00FC5BD1">
        <w:rPr>
          <w:rFonts w:cstheme="minorHAnsi"/>
        </w:rPr>
        <w:t>ive statistics</w:t>
      </w:r>
      <w:r w:rsidRPr="00FC5BD1">
        <w:rPr>
          <w:rFonts w:cstheme="minorHAnsi"/>
        </w:rPr>
        <w:t xml:space="preserve"> of the samples, the regression equations, the significance of the mediation of the </w:t>
      </w:r>
      <w:r w:rsidR="006337F5" w:rsidRPr="00FC5BD1">
        <w:rPr>
          <w:rFonts w:cstheme="minorHAnsi"/>
        </w:rPr>
        <w:t>p</w:t>
      </w:r>
      <w:r w:rsidRPr="00FC5BD1">
        <w:rPr>
          <w:rFonts w:cstheme="minorHAnsi"/>
        </w:rPr>
        <w:t xml:space="preserve">urchase </w:t>
      </w:r>
      <w:r w:rsidR="006337F5" w:rsidRPr="00FC5BD1">
        <w:rPr>
          <w:rFonts w:cstheme="minorHAnsi"/>
        </w:rPr>
        <w:t>i</w:t>
      </w:r>
      <w:r w:rsidRPr="00FC5BD1">
        <w:rPr>
          <w:rFonts w:cstheme="minorHAnsi"/>
        </w:rPr>
        <w:t>ntention variable, and the significance in the structural change of the 2021 and 2023 equations. This, to meet the general objective of the work and test the research hypotheses.</w:t>
      </w:r>
    </w:p>
    <w:p w14:paraId="0AC08061" w14:textId="7C725376" w:rsidR="001948AD" w:rsidRPr="00FC5BD1" w:rsidRDefault="001948AD" w:rsidP="003C06D5">
      <w:pPr>
        <w:spacing w:after="240" w:line="360" w:lineRule="auto"/>
        <w:jc w:val="both"/>
        <w:rPr>
          <w:rFonts w:cstheme="minorHAnsi"/>
          <w:b/>
          <w:bCs/>
        </w:rPr>
      </w:pPr>
      <w:r w:rsidRPr="00FC5BD1">
        <w:rPr>
          <w:rFonts w:cstheme="minorHAnsi"/>
          <w:b/>
          <w:bCs/>
        </w:rPr>
        <w:t>Reliability and validity of the instrument</w:t>
      </w:r>
    </w:p>
    <w:p w14:paraId="6A5FBA34" w14:textId="77777777" w:rsidR="001948AD" w:rsidRPr="00FC5BD1" w:rsidRDefault="001948AD" w:rsidP="003C06D5">
      <w:pPr>
        <w:spacing w:after="240" w:line="360" w:lineRule="auto"/>
        <w:jc w:val="both"/>
        <w:rPr>
          <w:rFonts w:cstheme="minorHAnsi"/>
        </w:rPr>
      </w:pPr>
      <w:r w:rsidRPr="00FC5BD1">
        <w:rPr>
          <w:rFonts w:cstheme="minorHAnsi"/>
        </w:rPr>
        <w:t xml:space="preserve">To verify the reliability of the instrument, Cronbach's Alpha was calculated for each variable, obtaining acceptable parameters above 0.75 (Hair, Prentice &amp; </w:t>
      </w:r>
      <w:proofErr w:type="spellStart"/>
      <w:r w:rsidRPr="00FC5BD1">
        <w:rPr>
          <w:rFonts w:cstheme="minorHAnsi"/>
        </w:rPr>
        <w:t>Cano</w:t>
      </w:r>
      <w:proofErr w:type="spellEnd"/>
      <w:r w:rsidRPr="00FC5BD1">
        <w:rPr>
          <w:rFonts w:cstheme="minorHAnsi"/>
        </w:rPr>
        <w:t xml:space="preserve">, </w:t>
      </w:r>
      <w:r w:rsidRPr="00FC5BD1">
        <w:rPr>
          <w:rFonts w:cstheme="minorHAnsi"/>
          <w:color w:val="C00000"/>
        </w:rPr>
        <w:t>1999</w:t>
      </w:r>
      <w:r w:rsidRPr="00FC5BD1">
        <w:rPr>
          <w:rFonts w:cstheme="minorHAnsi"/>
        </w:rPr>
        <w:t>).</w:t>
      </w:r>
    </w:p>
    <w:p w14:paraId="0550A0A1" w14:textId="6FE363FB" w:rsidR="001948AD" w:rsidRPr="00FC5BD1" w:rsidRDefault="001948AD" w:rsidP="003C06D5">
      <w:pPr>
        <w:spacing w:after="240" w:line="360" w:lineRule="auto"/>
        <w:jc w:val="both"/>
        <w:rPr>
          <w:rFonts w:cstheme="minorHAnsi"/>
        </w:rPr>
      </w:pPr>
      <w:r w:rsidRPr="00FC5BD1">
        <w:rPr>
          <w:rFonts w:cstheme="minorHAnsi"/>
        </w:rPr>
        <w:t xml:space="preserve">The Exploratory Factor Analysis served to corroborate the validity of the instrument. Using the method of principal component analysis and varimax rotation, it was verified that the extracted factors correspond to the original ones, as shown in Table </w:t>
      </w:r>
      <w:r w:rsidR="00AB5E9A" w:rsidRPr="00FC5BD1">
        <w:rPr>
          <w:rFonts w:cstheme="minorHAnsi"/>
        </w:rPr>
        <w:t>2</w:t>
      </w:r>
      <w:r w:rsidRPr="00FC5BD1">
        <w:rPr>
          <w:rFonts w:cstheme="minorHAnsi"/>
        </w:rPr>
        <w:t>.</w:t>
      </w:r>
    </w:p>
    <w:p w14:paraId="1232BF36" w14:textId="77777777" w:rsidR="009E4B29" w:rsidRPr="00FC5BD1" w:rsidRDefault="009E4B29">
      <w:pPr>
        <w:rPr>
          <w:rFonts w:cstheme="minorHAnsi"/>
          <w:b/>
          <w:bCs/>
        </w:rPr>
      </w:pPr>
      <w:r w:rsidRPr="00FC5BD1">
        <w:rPr>
          <w:rFonts w:cstheme="minorHAnsi"/>
          <w:b/>
          <w:bCs/>
        </w:rPr>
        <w:br w:type="page"/>
      </w:r>
    </w:p>
    <w:p w14:paraId="17787329" w14:textId="256797AE" w:rsidR="00587209" w:rsidRPr="00FC5BD1" w:rsidRDefault="00587209" w:rsidP="001D7591">
      <w:pPr>
        <w:spacing w:line="360" w:lineRule="auto"/>
        <w:rPr>
          <w:rFonts w:cstheme="minorHAnsi"/>
        </w:rPr>
      </w:pPr>
      <w:r w:rsidRPr="00FC5BD1">
        <w:rPr>
          <w:rFonts w:cstheme="minorHAnsi"/>
          <w:b/>
          <w:bCs/>
        </w:rPr>
        <w:lastRenderedPageBreak/>
        <w:t xml:space="preserve">Table </w:t>
      </w:r>
      <w:r w:rsidR="00AB5E9A" w:rsidRPr="00FC5BD1">
        <w:rPr>
          <w:rFonts w:cstheme="minorHAnsi"/>
          <w:b/>
          <w:bCs/>
        </w:rPr>
        <w:t>2</w:t>
      </w:r>
      <w:r w:rsidRPr="00FC5BD1">
        <w:rPr>
          <w:rFonts w:cstheme="minorHAnsi"/>
          <w:b/>
          <w:bCs/>
        </w:rPr>
        <w:t>.</w:t>
      </w:r>
      <w:r w:rsidRPr="00FC5BD1">
        <w:rPr>
          <w:rFonts w:cstheme="minorHAnsi"/>
        </w:rPr>
        <w:t xml:space="preserve"> </w:t>
      </w:r>
    </w:p>
    <w:p w14:paraId="02E6A991" w14:textId="56233A87" w:rsidR="00587209" w:rsidRPr="00FC5BD1" w:rsidRDefault="00587209" w:rsidP="001D7591">
      <w:pPr>
        <w:spacing w:line="360" w:lineRule="auto"/>
        <w:rPr>
          <w:rFonts w:cstheme="minorHAnsi"/>
        </w:rPr>
      </w:pPr>
      <w:r w:rsidRPr="00FC5BD1">
        <w:rPr>
          <w:rFonts w:cstheme="minorHAnsi"/>
        </w:rPr>
        <w:t xml:space="preserve">Reliability </w:t>
      </w:r>
      <w:r w:rsidR="00477B55" w:rsidRPr="00FC5BD1">
        <w:rPr>
          <w:rFonts w:cstheme="minorHAnsi"/>
        </w:rPr>
        <w:t xml:space="preserve">and validity </w:t>
      </w:r>
      <w:r w:rsidRPr="00FC5BD1">
        <w:rPr>
          <w:rFonts w:cstheme="minorHAnsi"/>
        </w:rPr>
        <w:t>of the instrument</w:t>
      </w:r>
    </w:p>
    <w:p w14:paraId="549DC5B0" w14:textId="227DE90A" w:rsidR="000854FF" w:rsidRPr="00FC5BD1" w:rsidRDefault="009E4B29" w:rsidP="003C06D5">
      <w:pPr>
        <w:spacing w:after="240" w:line="360" w:lineRule="auto"/>
        <w:rPr>
          <w:rFonts w:cstheme="minorHAnsi"/>
        </w:rPr>
      </w:pPr>
      <w:r w:rsidRPr="00FC5BD1">
        <w:rPr>
          <w:rFonts w:cstheme="minorHAnsi"/>
          <w:noProof/>
        </w:rPr>
        <w:drawing>
          <wp:inline distT="0" distB="0" distL="0" distR="0" wp14:anchorId="5361E7FE" wp14:editId="5169B491">
            <wp:extent cx="5200650" cy="1601155"/>
            <wp:effectExtent l="0" t="0" r="0" b="0"/>
            <wp:docPr id="10588980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898049" name=""/>
                    <pic:cNvPicPr/>
                  </pic:nvPicPr>
                  <pic:blipFill>
                    <a:blip r:embed="rId10"/>
                    <a:stretch>
                      <a:fillRect/>
                    </a:stretch>
                  </pic:blipFill>
                  <pic:spPr>
                    <a:xfrm>
                      <a:off x="0" y="0"/>
                      <a:ext cx="5210549" cy="1604203"/>
                    </a:xfrm>
                    <a:prstGeom prst="rect">
                      <a:avLst/>
                    </a:prstGeom>
                  </pic:spPr>
                </pic:pic>
              </a:graphicData>
            </a:graphic>
          </wp:inline>
        </w:drawing>
      </w:r>
      <w:r w:rsidR="00477B55" w:rsidRPr="00FC5BD1">
        <w:rPr>
          <w:rFonts w:cstheme="minorHAnsi"/>
        </w:rPr>
        <w:br/>
      </w:r>
      <w:r w:rsidR="000854FF" w:rsidRPr="00FC5BD1">
        <w:rPr>
          <w:rFonts w:cstheme="minorHAnsi"/>
        </w:rPr>
        <w:t xml:space="preserve">Source: </w:t>
      </w:r>
      <w:r w:rsidR="00477B55" w:rsidRPr="00FC5BD1">
        <w:rPr>
          <w:rFonts w:cstheme="minorHAnsi"/>
        </w:rPr>
        <w:t>Own elaboration with</w:t>
      </w:r>
      <w:r w:rsidR="000854FF" w:rsidRPr="00FC5BD1">
        <w:rPr>
          <w:rFonts w:cstheme="minorHAnsi"/>
        </w:rPr>
        <w:t xml:space="preserve"> SPSS 23.0</w:t>
      </w:r>
    </w:p>
    <w:p w14:paraId="7D7F4B4B" w14:textId="675F82C6" w:rsidR="00587209" w:rsidRPr="00FC5BD1" w:rsidRDefault="000854FF" w:rsidP="003C06D5">
      <w:pPr>
        <w:spacing w:after="240" w:line="360" w:lineRule="auto"/>
        <w:jc w:val="both"/>
        <w:rPr>
          <w:rFonts w:cstheme="minorHAnsi"/>
        </w:rPr>
      </w:pPr>
      <w:r w:rsidRPr="00FC5BD1">
        <w:rPr>
          <w:rFonts w:cstheme="minorHAnsi"/>
        </w:rPr>
        <w:t xml:space="preserve">Considering the reliability and validity results, the composite variables </w:t>
      </w:r>
      <w:r w:rsidR="00477B55" w:rsidRPr="00FC5BD1">
        <w:rPr>
          <w:rFonts w:cstheme="minorHAnsi"/>
        </w:rPr>
        <w:t>used to construct</w:t>
      </w:r>
      <w:r w:rsidRPr="00FC5BD1">
        <w:rPr>
          <w:rFonts w:cstheme="minorHAnsi"/>
        </w:rPr>
        <w:t xml:space="preserve"> the results described </w:t>
      </w:r>
      <w:proofErr w:type="gramStart"/>
      <w:r w:rsidRPr="00FC5BD1">
        <w:rPr>
          <w:rFonts w:cstheme="minorHAnsi"/>
        </w:rPr>
        <w:t>below</w:t>
      </w:r>
      <w:r w:rsidR="006337F5" w:rsidRPr="00FC5BD1">
        <w:rPr>
          <w:rFonts w:cstheme="minorHAnsi"/>
        </w:rPr>
        <w:t>,</w:t>
      </w:r>
      <w:proofErr w:type="gramEnd"/>
      <w:r w:rsidRPr="00FC5BD1">
        <w:rPr>
          <w:rFonts w:cstheme="minorHAnsi"/>
        </w:rPr>
        <w:t xml:space="preserve"> were determined.</w:t>
      </w:r>
    </w:p>
    <w:p w14:paraId="060395D3" w14:textId="292E8100" w:rsidR="000854FF" w:rsidRPr="00FC5BD1" w:rsidRDefault="00477B55" w:rsidP="003C06D5">
      <w:pPr>
        <w:spacing w:after="240" w:line="360" w:lineRule="auto"/>
        <w:jc w:val="both"/>
        <w:rPr>
          <w:rFonts w:cstheme="minorHAnsi"/>
          <w:b/>
          <w:bCs/>
        </w:rPr>
      </w:pPr>
      <w:r w:rsidRPr="00FC5BD1">
        <w:rPr>
          <w:rFonts w:cstheme="minorHAnsi"/>
          <w:b/>
          <w:bCs/>
        </w:rPr>
        <w:t>D</w:t>
      </w:r>
      <w:r w:rsidR="000854FF" w:rsidRPr="00FC5BD1">
        <w:rPr>
          <w:rFonts w:cstheme="minorHAnsi"/>
          <w:b/>
          <w:bCs/>
        </w:rPr>
        <w:t xml:space="preserve">escriptive </w:t>
      </w:r>
      <w:r w:rsidRPr="00FC5BD1">
        <w:rPr>
          <w:rFonts w:cstheme="minorHAnsi"/>
          <w:b/>
          <w:bCs/>
        </w:rPr>
        <w:t>statistics of the samples</w:t>
      </w:r>
    </w:p>
    <w:p w14:paraId="3A2ABF7D" w14:textId="01552633" w:rsidR="001948AD" w:rsidRPr="00FC5BD1" w:rsidRDefault="000854FF" w:rsidP="003C06D5">
      <w:pPr>
        <w:spacing w:after="240" w:line="360" w:lineRule="auto"/>
        <w:jc w:val="both"/>
        <w:rPr>
          <w:rFonts w:cstheme="minorHAnsi"/>
        </w:rPr>
      </w:pPr>
      <w:r w:rsidRPr="00FC5BD1">
        <w:rPr>
          <w:rFonts w:cstheme="minorHAnsi"/>
        </w:rPr>
        <w:t xml:space="preserve">Table </w:t>
      </w:r>
      <w:r w:rsidR="00AB5E9A" w:rsidRPr="00FC5BD1">
        <w:rPr>
          <w:rFonts w:cstheme="minorHAnsi"/>
        </w:rPr>
        <w:t>3</w:t>
      </w:r>
      <w:r w:rsidRPr="00FC5BD1">
        <w:rPr>
          <w:rFonts w:cstheme="minorHAnsi"/>
        </w:rPr>
        <w:t xml:space="preserve"> shows the means and standard deviations </w:t>
      </w:r>
      <w:r w:rsidR="006337F5" w:rsidRPr="00FC5BD1">
        <w:rPr>
          <w:rFonts w:cstheme="minorHAnsi"/>
        </w:rPr>
        <w:t xml:space="preserve">for </w:t>
      </w:r>
      <w:r w:rsidRPr="00FC5BD1">
        <w:rPr>
          <w:rFonts w:cstheme="minorHAnsi"/>
        </w:rPr>
        <w:t xml:space="preserve">the two years analyzed (2021 and 2023). The significant differences determined </w:t>
      </w:r>
      <w:proofErr w:type="gramStart"/>
      <w:r w:rsidRPr="00FC5BD1">
        <w:rPr>
          <w:rFonts w:cstheme="minorHAnsi"/>
        </w:rPr>
        <w:t>with</w:t>
      </w:r>
      <w:proofErr w:type="gramEnd"/>
      <w:r w:rsidRPr="00FC5BD1">
        <w:rPr>
          <w:rFonts w:cstheme="minorHAnsi"/>
        </w:rPr>
        <w:t xml:space="preserve"> the student's t-test are highlighted in gray.</w:t>
      </w:r>
    </w:p>
    <w:p w14:paraId="5EA638CE" w14:textId="3AAE976C" w:rsidR="000854FF" w:rsidRPr="00FC5BD1" w:rsidRDefault="000854FF" w:rsidP="009E4B29">
      <w:pPr>
        <w:spacing w:line="360" w:lineRule="auto"/>
        <w:rPr>
          <w:rFonts w:cstheme="minorHAnsi"/>
          <w:b/>
          <w:bCs/>
        </w:rPr>
      </w:pPr>
      <w:r w:rsidRPr="00FC5BD1">
        <w:rPr>
          <w:rFonts w:cstheme="minorHAnsi"/>
          <w:b/>
          <w:bCs/>
        </w:rPr>
        <w:t xml:space="preserve">Table </w:t>
      </w:r>
      <w:r w:rsidR="00AB5E9A" w:rsidRPr="00FC5BD1">
        <w:rPr>
          <w:rFonts w:cstheme="minorHAnsi"/>
          <w:b/>
          <w:bCs/>
        </w:rPr>
        <w:t>3</w:t>
      </w:r>
      <w:r w:rsidRPr="00FC5BD1">
        <w:rPr>
          <w:rFonts w:cstheme="minorHAnsi"/>
          <w:b/>
          <w:bCs/>
        </w:rPr>
        <w:t>.</w:t>
      </w:r>
    </w:p>
    <w:p w14:paraId="5D810950" w14:textId="77777777" w:rsidR="00654238" w:rsidRPr="00FC5BD1" w:rsidRDefault="000854FF" w:rsidP="003C3D5A">
      <w:pPr>
        <w:spacing w:after="240" w:line="360" w:lineRule="auto"/>
        <w:jc w:val="both"/>
        <w:rPr>
          <w:rFonts w:cstheme="minorHAnsi"/>
        </w:rPr>
      </w:pPr>
      <w:r w:rsidRPr="00FC5BD1">
        <w:rPr>
          <w:rFonts w:cstheme="minorHAnsi"/>
        </w:rPr>
        <w:t>Descriptive statistics of the variables</w:t>
      </w:r>
    </w:p>
    <w:p w14:paraId="267E8128" w14:textId="2064FE6B" w:rsidR="00477B55" w:rsidRPr="00FC5BD1" w:rsidRDefault="00123CBB" w:rsidP="003C3D5A">
      <w:pPr>
        <w:spacing w:after="240" w:line="360" w:lineRule="auto"/>
        <w:jc w:val="both"/>
        <w:rPr>
          <w:rFonts w:cstheme="minorHAnsi"/>
        </w:rPr>
      </w:pPr>
      <w:r w:rsidRPr="00FC5BD1">
        <w:rPr>
          <w:rFonts w:cstheme="minorHAnsi"/>
          <w:noProof/>
        </w:rPr>
        <w:drawing>
          <wp:inline distT="0" distB="0" distL="0" distR="0" wp14:anchorId="2E6C4686" wp14:editId="769D8D4A">
            <wp:extent cx="5353050" cy="1809789"/>
            <wp:effectExtent l="0" t="0" r="0" b="0"/>
            <wp:docPr id="15459713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971389" name=""/>
                    <pic:cNvPicPr/>
                  </pic:nvPicPr>
                  <pic:blipFill>
                    <a:blip r:embed="rId11"/>
                    <a:stretch>
                      <a:fillRect/>
                    </a:stretch>
                  </pic:blipFill>
                  <pic:spPr>
                    <a:xfrm>
                      <a:off x="0" y="0"/>
                      <a:ext cx="5372004" cy="1816197"/>
                    </a:xfrm>
                    <a:prstGeom prst="rect">
                      <a:avLst/>
                    </a:prstGeom>
                  </pic:spPr>
                </pic:pic>
              </a:graphicData>
            </a:graphic>
          </wp:inline>
        </w:drawing>
      </w:r>
      <w:r w:rsidRPr="00FC5BD1">
        <w:rPr>
          <w:rFonts w:cstheme="minorHAnsi"/>
        </w:rPr>
        <w:t xml:space="preserve"> </w:t>
      </w:r>
      <w:r w:rsidR="00477B55" w:rsidRPr="00FC5BD1">
        <w:rPr>
          <w:rFonts w:cstheme="minorHAnsi"/>
        </w:rPr>
        <w:t>Source: Own elaboration with SPSS 23.0</w:t>
      </w:r>
    </w:p>
    <w:p w14:paraId="11212945" w14:textId="13CDBC6F" w:rsidR="000854FF" w:rsidRPr="00FC5BD1" w:rsidRDefault="000854FF" w:rsidP="003C06D5">
      <w:pPr>
        <w:spacing w:after="240" w:line="360" w:lineRule="auto"/>
        <w:jc w:val="both"/>
        <w:rPr>
          <w:rFonts w:cstheme="minorHAnsi"/>
        </w:rPr>
      </w:pPr>
      <w:r w:rsidRPr="00FC5BD1">
        <w:rPr>
          <w:rFonts w:cstheme="minorHAnsi"/>
        </w:rPr>
        <w:lastRenderedPageBreak/>
        <w:t>Attitude towards RRR, perceived behavioral control and sustainable</w:t>
      </w:r>
      <w:r w:rsidR="00C142F0" w:rsidRPr="00FC5BD1">
        <w:rPr>
          <w:rFonts w:cstheme="minorHAnsi"/>
        </w:rPr>
        <w:t xml:space="preserve"> purchase intention</w:t>
      </w:r>
      <w:r w:rsidRPr="00FC5BD1">
        <w:rPr>
          <w:rFonts w:cstheme="minorHAnsi"/>
        </w:rPr>
        <w:t xml:space="preserve">, had a significant increase in the perception of </w:t>
      </w:r>
      <w:r w:rsidR="006337F5" w:rsidRPr="00FC5BD1">
        <w:rPr>
          <w:rFonts w:cstheme="minorHAnsi"/>
        </w:rPr>
        <w:t>C</w:t>
      </w:r>
      <w:r w:rsidRPr="00FC5BD1">
        <w:rPr>
          <w:rFonts w:cstheme="minorHAnsi"/>
        </w:rPr>
        <w:t xml:space="preserve">entennials in the period under analysis. Perceived behavioral control stands out, </w:t>
      </w:r>
      <w:r w:rsidR="00C142F0" w:rsidRPr="00FC5BD1">
        <w:rPr>
          <w:rFonts w:cstheme="minorHAnsi"/>
        </w:rPr>
        <w:t>increasing</w:t>
      </w:r>
      <w:r w:rsidRPr="00FC5BD1">
        <w:rPr>
          <w:rFonts w:cstheme="minorHAnsi"/>
        </w:rPr>
        <w:t xml:space="preserve"> almost 90%. </w:t>
      </w:r>
      <w:r w:rsidR="00C142F0" w:rsidRPr="00FC5BD1">
        <w:rPr>
          <w:rFonts w:cstheme="minorHAnsi"/>
        </w:rPr>
        <w:t>At the same time</w:t>
      </w:r>
      <w:r w:rsidRPr="00FC5BD1">
        <w:rPr>
          <w:rFonts w:cstheme="minorHAnsi"/>
        </w:rPr>
        <w:t xml:space="preserve">, subjective norms suffered a significant decrease, although </w:t>
      </w:r>
      <w:proofErr w:type="gramStart"/>
      <w:r w:rsidR="006337F5" w:rsidRPr="00FC5BD1">
        <w:rPr>
          <w:rFonts w:cstheme="minorHAnsi"/>
        </w:rPr>
        <w:t>it</w:t>
      </w:r>
      <w:proofErr w:type="gramEnd"/>
      <w:r w:rsidRPr="00FC5BD1">
        <w:rPr>
          <w:rFonts w:cstheme="minorHAnsi"/>
        </w:rPr>
        <w:t xml:space="preserve"> remained with an average rating (7.6), while </w:t>
      </w:r>
      <w:r w:rsidR="009E4B29" w:rsidRPr="00FC5BD1">
        <w:rPr>
          <w:rFonts w:cstheme="minorHAnsi"/>
        </w:rPr>
        <w:t xml:space="preserve">sustainable </w:t>
      </w:r>
      <w:r w:rsidR="00C142F0" w:rsidRPr="00FC5BD1">
        <w:rPr>
          <w:rFonts w:cstheme="minorHAnsi"/>
        </w:rPr>
        <w:t xml:space="preserve">food </w:t>
      </w:r>
      <w:r w:rsidRPr="00FC5BD1">
        <w:rPr>
          <w:rFonts w:cstheme="minorHAnsi"/>
        </w:rPr>
        <w:t xml:space="preserve">consumption remained </w:t>
      </w:r>
      <w:r w:rsidR="005F1685" w:rsidRPr="00FC5BD1">
        <w:rPr>
          <w:rFonts w:cstheme="minorHAnsi"/>
        </w:rPr>
        <w:t xml:space="preserve">practically </w:t>
      </w:r>
      <w:r w:rsidRPr="00FC5BD1">
        <w:rPr>
          <w:rFonts w:cstheme="minorHAnsi"/>
        </w:rPr>
        <w:t xml:space="preserve">the same in the period </w:t>
      </w:r>
      <w:r w:rsidR="005F1685" w:rsidRPr="00FC5BD1">
        <w:rPr>
          <w:rFonts w:cstheme="minorHAnsi"/>
        </w:rPr>
        <w:t xml:space="preserve">under </w:t>
      </w:r>
      <w:r w:rsidRPr="00FC5BD1">
        <w:rPr>
          <w:rFonts w:cstheme="minorHAnsi"/>
        </w:rPr>
        <w:t>stud</w:t>
      </w:r>
      <w:r w:rsidR="005F1685" w:rsidRPr="00FC5BD1">
        <w:rPr>
          <w:rFonts w:cstheme="minorHAnsi"/>
        </w:rPr>
        <w:t>y</w:t>
      </w:r>
      <w:r w:rsidRPr="00FC5BD1">
        <w:rPr>
          <w:rFonts w:cstheme="minorHAnsi"/>
        </w:rPr>
        <w:t xml:space="preserve"> (2021 to 2023).</w:t>
      </w:r>
    </w:p>
    <w:p w14:paraId="09BDBE68" w14:textId="77777777" w:rsidR="000854FF" w:rsidRPr="00FC5BD1" w:rsidRDefault="000854FF" w:rsidP="003C06D5">
      <w:pPr>
        <w:spacing w:after="240" w:line="360" w:lineRule="auto"/>
        <w:jc w:val="both"/>
        <w:rPr>
          <w:rFonts w:cstheme="minorHAnsi"/>
          <w:b/>
          <w:bCs/>
        </w:rPr>
      </w:pPr>
      <w:r w:rsidRPr="00FC5BD1">
        <w:rPr>
          <w:rFonts w:cstheme="minorHAnsi"/>
          <w:b/>
          <w:bCs/>
        </w:rPr>
        <w:t>Correlations and regressions</w:t>
      </w:r>
    </w:p>
    <w:p w14:paraId="4F3E4C8F" w14:textId="7F47A411" w:rsidR="000854FF" w:rsidRPr="00FC5BD1" w:rsidRDefault="005F1685" w:rsidP="003C06D5">
      <w:pPr>
        <w:spacing w:after="240" w:line="360" w:lineRule="auto"/>
        <w:jc w:val="both"/>
        <w:rPr>
          <w:rFonts w:cstheme="minorHAnsi"/>
        </w:rPr>
      </w:pPr>
      <w:r w:rsidRPr="00FC5BD1">
        <w:rPr>
          <w:rFonts w:cstheme="minorHAnsi"/>
        </w:rPr>
        <w:t>C</w:t>
      </w:r>
      <w:r w:rsidR="000854FF" w:rsidRPr="00FC5BD1">
        <w:rPr>
          <w:rFonts w:cstheme="minorHAnsi"/>
        </w:rPr>
        <w:t xml:space="preserve">orrelations </w:t>
      </w:r>
      <w:r w:rsidRPr="00FC5BD1">
        <w:rPr>
          <w:rFonts w:cstheme="minorHAnsi"/>
        </w:rPr>
        <w:t xml:space="preserve">were calculated </w:t>
      </w:r>
      <w:r w:rsidR="000854FF" w:rsidRPr="00FC5BD1">
        <w:rPr>
          <w:rFonts w:cstheme="minorHAnsi"/>
        </w:rPr>
        <w:t>between</w:t>
      </w:r>
      <w:r w:rsidR="00B67EB8" w:rsidRPr="00FC5BD1">
        <w:rPr>
          <w:rFonts w:cstheme="minorHAnsi"/>
        </w:rPr>
        <w:t xml:space="preserve"> </w:t>
      </w:r>
      <w:r w:rsidRPr="00FC5BD1">
        <w:rPr>
          <w:rFonts w:cstheme="minorHAnsi"/>
        </w:rPr>
        <w:t xml:space="preserve">Gen Z’s </w:t>
      </w:r>
      <w:r w:rsidR="009E4B29" w:rsidRPr="00FC5BD1">
        <w:rPr>
          <w:rFonts w:cstheme="minorHAnsi"/>
        </w:rPr>
        <w:t xml:space="preserve">sustainable </w:t>
      </w:r>
      <w:r w:rsidR="00A04D9D" w:rsidRPr="00FC5BD1">
        <w:rPr>
          <w:rFonts w:cstheme="minorHAnsi"/>
        </w:rPr>
        <w:t xml:space="preserve">food </w:t>
      </w:r>
      <w:r w:rsidR="000854FF" w:rsidRPr="00FC5BD1">
        <w:rPr>
          <w:rFonts w:cstheme="minorHAnsi"/>
        </w:rPr>
        <w:t>consumption with the rest of the variables for both periods using Pearson</w:t>
      </w:r>
      <w:r w:rsidRPr="00FC5BD1">
        <w:rPr>
          <w:rFonts w:cstheme="minorHAnsi"/>
        </w:rPr>
        <w:t>’s</w:t>
      </w:r>
      <w:r w:rsidR="000854FF" w:rsidRPr="00FC5BD1">
        <w:rPr>
          <w:rFonts w:cstheme="minorHAnsi"/>
        </w:rPr>
        <w:t xml:space="preserve"> statistic (</w:t>
      </w:r>
      <w:r w:rsidR="006337F5" w:rsidRPr="00FC5BD1">
        <w:rPr>
          <w:rFonts w:cstheme="minorHAnsi"/>
        </w:rPr>
        <w:t>T</w:t>
      </w:r>
      <w:r w:rsidR="000854FF" w:rsidRPr="00FC5BD1">
        <w:rPr>
          <w:rFonts w:cstheme="minorHAnsi"/>
        </w:rPr>
        <w:t xml:space="preserve">able </w:t>
      </w:r>
      <w:r w:rsidR="00AB5E9A" w:rsidRPr="00FC5BD1">
        <w:rPr>
          <w:rFonts w:cstheme="minorHAnsi"/>
        </w:rPr>
        <w:t>4</w:t>
      </w:r>
      <w:r w:rsidR="000854FF" w:rsidRPr="00FC5BD1">
        <w:rPr>
          <w:rFonts w:cstheme="minorHAnsi"/>
        </w:rPr>
        <w:t>).</w:t>
      </w:r>
    </w:p>
    <w:p w14:paraId="240BED4E" w14:textId="6D705761" w:rsidR="000854FF" w:rsidRPr="00FC5BD1" w:rsidRDefault="000854FF" w:rsidP="001D7591">
      <w:pPr>
        <w:spacing w:line="360" w:lineRule="auto"/>
        <w:jc w:val="both"/>
        <w:rPr>
          <w:rFonts w:cstheme="minorHAnsi"/>
          <w:b/>
          <w:bCs/>
        </w:rPr>
      </w:pPr>
      <w:r w:rsidRPr="00FC5BD1">
        <w:rPr>
          <w:rFonts w:cstheme="minorHAnsi"/>
          <w:b/>
          <w:bCs/>
        </w:rPr>
        <w:t xml:space="preserve">Table </w:t>
      </w:r>
      <w:r w:rsidR="00AB5E9A" w:rsidRPr="00FC5BD1">
        <w:rPr>
          <w:rFonts w:cstheme="minorHAnsi"/>
          <w:b/>
          <w:bCs/>
        </w:rPr>
        <w:t>4</w:t>
      </w:r>
      <w:r w:rsidRPr="00FC5BD1">
        <w:rPr>
          <w:rFonts w:cstheme="minorHAnsi"/>
          <w:b/>
          <w:bCs/>
        </w:rPr>
        <w:t>.</w:t>
      </w:r>
    </w:p>
    <w:p w14:paraId="05C8ECEB" w14:textId="2BBA729D" w:rsidR="000854FF" w:rsidRPr="00FC5BD1" w:rsidRDefault="000854FF" w:rsidP="001D7591">
      <w:pPr>
        <w:spacing w:line="360" w:lineRule="auto"/>
        <w:jc w:val="both"/>
        <w:rPr>
          <w:rFonts w:cstheme="minorHAnsi"/>
        </w:rPr>
      </w:pPr>
      <w:r w:rsidRPr="00FC5BD1">
        <w:rPr>
          <w:rFonts w:cstheme="minorHAnsi"/>
        </w:rPr>
        <w:t xml:space="preserve">Correlations with </w:t>
      </w:r>
      <w:r w:rsidR="009E4B29" w:rsidRPr="00FC5BD1">
        <w:rPr>
          <w:rFonts w:cstheme="minorHAnsi"/>
        </w:rPr>
        <w:t xml:space="preserve">sustainable </w:t>
      </w:r>
      <w:r w:rsidR="00A04D9D" w:rsidRPr="00FC5BD1">
        <w:rPr>
          <w:rFonts w:cstheme="minorHAnsi"/>
        </w:rPr>
        <w:t xml:space="preserve">food </w:t>
      </w:r>
      <w:r w:rsidRPr="00FC5BD1">
        <w:rPr>
          <w:rFonts w:cstheme="minorHAnsi"/>
        </w:rPr>
        <w:t>consumption</w:t>
      </w:r>
    </w:p>
    <w:p w14:paraId="44A524F6" w14:textId="77777777" w:rsidR="00123CBB" w:rsidRPr="00FC5BD1" w:rsidRDefault="00123CBB" w:rsidP="00123CBB">
      <w:pPr>
        <w:spacing w:line="360" w:lineRule="auto"/>
        <w:rPr>
          <w:rFonts w:cstheme="minorHAnsi"/>
        </w:rPr>
      </w:pPr>
      <w:r w:rsidRPr="00FC5BD1">
        <w:rPr>
          <w:rFonts w:cstheme="minorHAnsi"/>
          <w:noProof/>
        </w:rPr>
        <w:drawing>
          <wp:inline distT="0" distB="0" distL="0" distR="0" wp14:anchorId="041C6796" wp14:editId="50BE8BDB">
            <wp:extent cx="4546600" cy="1358900"/>
            <wp:effectExtent l="0" t="0" r="0" b="0"/>
            <wp:docPr id="15801225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122541" name=""/>
                    <pic:cNvPicPr/>
                  </pic:nvPicPr>
                  <pic:blipFill>
                    <a:blip r:embed="rId12"/>
                    <a:stretch>
                      <a:fillRect/>
                    </a:stretch>
                  </pic:blipFill>
                  <pic:spPr>
                    <a:xfrm>
                      <a:off x="0" y="0"/>
                      <a:ext cx="4546600" cy="1358900"/>
                    </a:xfrm>
                    <a:prstGeom prst="rect">
                      <a:avLst/>
                    </a:prstGeom>
                  </pic:spPr>
                </pic:pic>
              </a:graphicData>
            </a:graphic>
          </wp:inline>
        </w:drawing>
      </w:r>
      <w:r w:rsidRPr="00FC5BD1">
        <w:rPr>
          <w:rFonts w:cstheme="minorHAnsi"/>
        </w:rPr>
        <w:t xml:space="preserve"> </w:t>
      </w:r>
    </w:p>
    <w:p w14:paraId="51E6A2F0" w14:textId="094F5CBB" w:rsidR="00B67EB8" w:rsidRPr="00FC5BD1" w:rsidRDefault="00B67EB8" w:rsidP="003C06D5">
      <w:pPr>
        <w:spacing w:after="240" w:line="360" w:lineRule="auto"/>
        <w:rPr>
          <w:rFonts w:cstheme="minorHAnsi"/>
        </w:rPr>
      </w:pPr>
      <w:r w:rsidRPr="00FC5BD1">
        <w:rPr>
          <w:rFonts w:cstheme="minorHAnsi"/>
        </w:rPr>
        <w:t>Source: Own elaboration with SPSS 23.0</w:t>
      </w:r>
    </w:p>
    <w:p w14:paraId="18056B21" w14:textId="276104E8" w:rsidR="000854FF" w:rsidRPr="00FC5BD1" w:rsidRDefault="000854FF" w:rsidP="003C06D5">
      <w:pPr>
        <w:spacing w:after="240" w:line="360" w:lineRule="auto"/>
        <w:jc w:val="both"/>
        <w:rPr>
          <w:rFonts w:cstheme="minorHAnsi"/>
        </w:rPr>
      </w:pPr>
      <w:r w:rsidRPr="00FC5BD1">
        <w:rPr>
          <w:rFonts w:cstheme="minorHAnsi"/>
        </w:rPr>
        <w:t>All the correlations are significant, although in 2021</w:t>
      </w:r>
      <w:r w:rsidR="00B67EB8" w:rsidRPr="00FC5BD1">
        <w:rPr>
          <w:rFonts w:cstheme="minorHAnsi"/>
        </w:rPr>
        <w:t>,</w:t>
      </w:r>
      <w:r w:rsidRPr="00FC5BD1">
        <w:rPr>
          <w:rFonts w:cstheme="minorHAnsi"/>
        </w:rPr>
        <w:t xml:space="preserve"> the only one that is high is with perceived behavioral control. In contrast, by 2023 there are high correlations with subjective norms, perceived behavioral control, and sustainable purchase intention.</w:t>
      </w:r>
    </w:p>
    <w:p w14:paraId="791A6CB2" w14:textId="4EE9EB8F" w:rsidR="000854FF" w:rsidRPr="00FC5BD1" w:rsidRDefault="00067795" w:rsidP="003C06D5">
      <w:pPr>
        <w:spacing w:after="240" w:line="360" w:lineRule="auto"/>
        <w:jc w:val="both"/>
        <w:rPr>
          <w:rFonts w:cstheme="minorHAnsi"/>
        </w:rPr>
      </w:pPr>
      <w:r w:rsidRPr="00FC5BD1">
        <w:rPr>
          <w:rFonts w:cstheme="minorHAnsi"/>
        </w:rPr>
        <w:t>C</w:t>
      </w:r>
      <w:r w:rsidR="000854FF" w:rsidRPr="00FC5BD1">
        <w:rPr>
          <w:rFonts w:cstheme="minorHAnsi"/>
        </w:rPr>
        <w:t xml:space="preserve">orrelations between all the variables were also high, </w:t>
      </w:r>
      <w:r w:rsidRPr="00FC5BD1">
        <w:rPr>
          <w:rFonts w:cstheme="minorHAnsi"/>
        </w:rPr>
        <w:t>except for</w:t>
      </w:r>
      <w:r w:rsidR="000854FF" w:rsidRPr="00FC5BD1">
        <w:rPr>
          <w:rFonts w:cstheme="minorHAnsi"/>
        </w:rPr>
        <w:t xml:space="preserve"> perceived behavioral control for 2021. </w:t>
      </w:r>
      <w:r w:rsidRPr="00FC5BD1">
        <w:rPr>
          <w:rFonts w:cstheme="minorHAnsi"/>
        </w:rPr>
        <w:t>Therefore</w:t>
      </w:r>
      <w:r w:rsidR="000854FF" w:rsidRPr="00FC5BD1">
        <w:rPr>
          <w:rFonts w:cstheme="minorHAnsi"/>
        </w:rPr>
        <w:t xml:space="preserve">, linear regression equations were calculated for each year under the </w:t>
      </w:r>
      <w:r w:rsidRPr="00FC5BD1">
        <w:rPr>
          <w:rFonts w:cstheme="minorHAnsi"/>
        </w:rPr>
        <w:t xml:space="preserve">stepwise </w:t>
      </w:r>
      <w:r w:rsidR="000854FF" w:rsidRPr="00FC5BD1">
        <w:rPr>
          <w:rFonts w:cstheme="minorHAnsi"/>
        </w:rPr>
        <w:t>method</w:t>
      </w:r>
      <w:r w:rsidRPr="00FC5BD1">
        <w:rPr>
          <w:rFonts w:cstheme="minorHAnsi"/>
        </w:rPr>
        <w:t>, which allows evaluating</w:t>
      </w:r>
      <w:r w:rsidR="00A04D9D" w:rsidRPr="00FC5BD1">
        <w:rPr>
          <w:rFonts w:cstheme="minorHAnsi"/>
        </w:rPr>
        <w:t xml:space="preserve"> </w:t>
      </w:r>
      <w:r w:rsidR="000854FF" w:rsidRPr="00FC5BD1">
        <w:rPr>
          <w:rFonts w:cstheme="minorHAnsi"/>
        </w:rPr>
        <w:t xml:space="preserve">the </w:t>
      </w:r>
      <w:r w:rsidR="0094024E" w:rsidRPr="00FC5BD1">
        <w:rPr>
          <w:rFonts w:cstheme="minorHAnsi"/>
        </w:rPr>
        <w:t>pertinence</w:t>
      </w:r>
      <w:r w:rsidR="000854FF" w:rsidRPr="00FC5BD1">
        <w:rPr>
          <w:rFonts w:cstheme="minorHAnsi"/>
        </w:rPr>
        <w:t xml:space="preserve"> in the integration of each variable </w:t>
      </w:r>
      <w:r w:rsidRPr="00FC5BD1">
        <w:rPr>
          <w:rFonts w:cstheme="minorHAnsi"/>
        </w:rPr>
        <w:t>to</w:t>
      </w:r>
      <w:r w:rsidR="000854FF" w:rsidRPr="00FC5BD1">
        <w:rPr>
          <w:rFonts w:cstheme="minorHAnsi"/>
        </w:rPr>
        <w:t xml:space="preserve"> the equation, avoiding the </w:t>
      </w:r>
      <w:r w:rsidRPr="00FC5BD1">
        <w:rPr>
          <w:rFonts w:cstheme="minorHAnsi"/>
        </w:rPr>
        <w:t xml:space="preserve">effect of </w:t>
      </w:r>
      <w:r w:rsidR="000854FF" w:rsidRPr="00FC5BD1">
        <w:rPr>
          <w:rFonts w:cstheme="minorHAnsi"/>
        </w:rPr>
        <w:t xml:space="preserve">collinearity (Hair, Prentice &amp; </w:t>
      </w:r>
      <w:proofErr w:type="spellStart"/>
      <w:r w:rsidR="000854FF" w:rsidRPr="00FC5BD1">
        <w:rPr>
          <w:rFonts w:cstheme="minorHAnsi"/>
        </w:rPr>
        <w:t>Cano</w:t>
      </w:r>
      <w:proofErr w:type="spellEnd"/>
      <w:r w:rsidR="000854FF" w:rsidRPr="00FC5BD1">
        <w:rPr>
          <w:rFonts w:cstheme="minorHAnsi"/>
        </w:rPr>
        <w:t xml:space="preserve">, </w:t>
      </w:r>
      <w:r w:rsidR="000854FF" w:rsidRPr="00FC5BD1">
        <w:rPr>
          <w:rFonts w:cstheme="minorHAnsi"/>
          <w:color w:val="C00000"/>
        </w:rPr>
        <w:t>1999</w:t>
      </w:r>
      <w:r w:rsidR="000854FF" w:rsidRPr="00FC5BD1">
        <w:rPr>
          <w:rFonts w:cstheme="minorHAnsi"/>
        </w:rPr>
        <w:t xml:space="preserve">). </w:t>
      </w:r>
      <w:r w:rsidR="000854FF" w:rsidRPr="00FC5BD1">
        <w:rPr>
          <w:rFonts w:cstheme="minorHAnsi"/>
        </w:rPr>
        <w:lastRenderedPageBreak/>
        <w:t xml:space="preserve">Table </w:t>
      </w:r>
      <w:r w:rsidR="00AB5E9A" w:rsidRPr="00FC5BD1">
        <w:rPr>
          <w:rFonts w:cstheme="minorHAnsi"/>
        </w:rPr>
        <w:t>5</w:t>
      </w:r>
      <w:r w:rsidR="000854FF" w:rsidRPr="00FC5BD1">
        <w:rPr>
          <w:rFonts w:cstheme="minorHAnsi"/>
        </w:rPr>
        <w:t xml:space="preserve"> shows the variables that have explanatory value in </w:t>
      </w:r>
      <w:r w:rsidR="00B81F47" w:rsidRPr="00FC5BD1">
        <w:rPr>
          <w:rFonts w:cstheme="minorHAnsi"/>
        </w:rPr>
        <w:t>Gen Z</w:t>
      </w:r>
      <w:r w:rsidRPr="00FC5BD1">
        <w:rPr>
          <w:rFonts w:cstheme="minorHAnsi"/>
        </w:rPr>
        <w:t>’s</w:t>
      </w:r>
      <w:r w:rsidR="00B81F47" w:rsidRPr="00FC5BD1">
        <w:rPr>
          <w:rFonts w:cstheme="minorHAnsi"/>
        </w:rPr>
        <w:t xml:space="preserve"> </w:t>
      </w:r>
      <w:r w:rsidR="000854FF" w:rsidRPr="00FC5BD1">
        <w:rPr>
          <w:rFonts w:cstheme="minorHAnsi"/>
        </w:rPr>
        <w:t xml:space="preserve">sustainable consumption </w:t>
      </w:r>
      <w:r w:rsidRPr="00FC5BD1">
        <w:rPr>
          <w:rFonts w:cstheme="minorHAnsi"/>
        </w:rPr>
        <w:t>in</w:t>
      </w:r>
      <w:r w:rsidR="000854FF" w:rsidRPr="00FC5BD1">
        <w:rPr>
          <w:rFonts w:cstheme="minorHAnsi"/>
        </w:rPr>
        <w:t xml:space="preserve"> each year.</w:t>
      </w:r>
    </w:p>
    <w:p w14:paraId="26F2A9B4" w14:textId="0AC18004" w:rsidR="000854FF" w:rsidRPr="00FC5BD1" w:rsidRDefault="000854FF" w:rsidP="001D7591">
      <w:pPr>
        <w:spacing w:line="360" w:lineRule="auto"/>
        <w:jc w:val="both"/>
        <w:rPr>
          <w:rFonts w:cstheme="minorHAnsi"/>
          <w:b/>
          <w:bCs/>
        </w:rPr>
      </w:pPr>
      <w:r w:rsidRPr="00FC5BD1">
        <w:rPr>
          <w:rFonts w:cstheme="minorHAnsi"/>
          <w:b/>
          <w:bCs/>
        </w:rPr>
        <w:t xml:space="preserve">Table </w:t>
      </w:r>
      <w:r w:rsidR="00AB5E9A" w:rsidRPr="00FC5BD1">
        <w:rPr>
          <w:rFonts w:cstheme="minorHAnsi"/>
          <w:b/>
          <w:bCs/>
        </w:rPr>
        <w:t>5</w:t>
      </w:r>
      <w:r w:rsidRPr="00FC5BD1">
        <w:rPr>
          <w:rFonts w:cstheme="minorHAnsi"/>
          <w:b/>
          <w:bCs/>
        </w:rPr>
        <w:t>.</w:t>
      </w:r>
    </w:p>
    <w:p w14:paraId="46652F3D" w14:textId="51A747E7" w:rsidR="000854FF" w:rsidRPr="00FC5BD1" w:rsidRDefault="000854FF" w:rsidP="001D7591">
      <w:pPr>
        <w:spacing w:line="360" w:lineRule="auto"/>
        <w:jc w:val="both"/>
        <w:rPr>
          <w:rFonts w:cstheme="minorHAnsi"/>
        </w:rPr>
      </w:pPr>
      <w:r w:rsidRPr="00FC5BD1">
        <w:rPr>
          <w:rFonts w:cstheme="minorHAnsi"/>
        </w:rPr>
        <w:t>Coefficients of the linear regression equations for 2021 and 2023</w:t>
      </w:r>
    </w:p>
    <w:p w14:paraId="42A3169D" w14:textId="7D26528C" w:rsidR="00A04D9D" w:rsidRPr="00FC5BD1" w:rsidRDefault="00123CBB" w:rsidP="003C06D5">
      <w:pPr>
        <w:spacing w:after="240" w:line="360" w:lineRule="auto"/>
        <w:rPr>
          <w:rFonts w:cstheme="minorHAnsi"/>
        </w:rPr>
      </w:pPr>
      <w:r w:rsidRPr="00FC5BD1">
        <w:rPr>
          <w:rFonts w:cstheme="minorHAnsi"/>
          <w:noProof/>
        </w:rPr>
        <w:drawing>
          <wp:inline distT="0" distB="0" distL="0" distR="0" wp14:anchorId="7B2DB732" wp14:editId="23D9FF5D">
            <wp:extent cx="5612130" cy="1621790"/>
            <wp:effectExtent l="0" t="0" r="1270" b="3810"/>
            <wp:docPr id="681586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58632" name=""/>
                    <pic:cNvPicPr/>
                  </pic:nvPicPr>
                  <pic:blipFill>
                    <a:blip r:embed="rId13"/>
                    <a:stretch>
                      <a:fillRect/>
                    </a:stretch>
                  </pic:blipFill>
                  <pic:spPr>
                    <a:xfrm>
                      <a:off x="0" y="0"/>
                      <a:ext cx="5612130" cy="1621790"/>
                    </a:xfrm>
                    <a:prstGeom prst="rect">
                      <a:avLst/>
                    </a:prstGeom>
                  </pic:spPr>
                </pic:pic>
              </a:graphicData>
            </a:graphic>
          </wp:inline>
        </w:drawing>
      </w:r>
      <w:r w:rsidRPr="00FC5BD1">
        <w:rPr>
          <w:rFonts w:cstheme="minorHAnsi"/>
        </w:rPr>
        <w:t xml:space="preserve"> </w:t>
      </w:r>
      <w:r w:rsidR="00A04D9D" w:rsidRPr="00FC5BD1">
        <w:rPr>
          <w:rFonts w:cstheme="minorHAnsi"/>
        </w:rPr>
        <w:t>Source: Own elaboration with SPSS 23.0</w:t>
      </w:r>
    </w:p>
    <w:p w14:paraId="46E77063" w14:textId="693A2769" w:rsidR="001B3978" w:rsidRPr="00FC5BD1" w:rsidRDefault="001B3978" w:rsidP="003C06D5">
      <w:pPr>
        <w:spacing w:after="240" w:line="360" w:lineRule="auto"/>
        <w:jc w:val="both"/>
        <w:rPr>
          <w:rFonts w:cstheme="minorHAnsi"/>
        </w:rPr>
      </w:pPr>
      <w:r w:rsidRPr="00FC5BD1">
        <w:rPr>
          <w:rFonts w:cstheme="minorHAnsi"/>
        </w:rPr>
        <w:t xml:space="preserve">The regression equation for 2021, composed of </w:t>
      </w:r>
      <w:r w:rsidR="00CD4BCE" w:rsidRPr="00FC5BD1">
        <w:rPr>
          <w:rFonts w:cstheme="minorHAnsi"/>
        </w:rPr>
        <w:t>s</w:t>
      </w:r>
      <w:r w:rsidRPr="00FC5BD1">
        <w:rPr>
          <w:rFonts w:cstheme="minorHAnsi"/>
        </w:rPr>
        <w:t xml:space="preserve">ubjective </w:t>
      </w:r>
      <w:r w:rsidR="00CD4BCE" w:rsidRPr="00FC5BD1">
        <w:rPr>
          <w:rFonts w:cstheme="minorHAnsi"/>
        </w:rPr>
        <w:t>n</w:t>
      </w:r>
      <w:r w:rsidRPr="00FC5BD1">
        <w:rPr>
          <w:rFonts w:cstheme="minorHAnsi"/>
        </w:rPr>
        <w:t xml:space="preserve">orms and </w:t>
      </w:r>
      <w:r w:rsidR="00CD4BCE" w:rsidRPr="00FC5BD1">
        <w:rPr>
          <w:rFonts w:cstheme="minorHAnsi"/>
        </w:rPr>
        <w:t>p</w:t>
      </w:r>
      <w:r w:rsidRPr="00FC5BD1">
        <w:rPr>
          <w:rFonts w:cstheme="minorHAnsi"/>
        </w:rPr>
        <w:t xml:space="preserve">erceived </w:t>
      </w:r>
      <w:r w:rsidR="00CD4BCE" w:rsidRPr="00FC5BD1">
        <w:rPr>
          <w:rFonts w:cstheme="minorHAnsi"/>
        </w:rPr>
        <w:t>b</w:t>
      </w:r>
      <w:r w:rsidRPr="00FC5BD1">
        <w:rPr>
          <w:rFonts w:cstheme="minorHAnsi"/>
        </w:rPr>
        <w:t xml:space="preserve">ehavioral </w:t>
      </w:r>
      <w:r w:rsidR="00CD4BCE" w:rsidRPr="00FC5BD1">
        <w:rPr>
          <w:rFonts w:cstheme="minorHAnsi"/>
        </w:rPr>
        <w:t>c</w:t>
      </w:r>
      <w:r w:rsidRPr="00FC5BD1">
        <w:rPr>
          <w:rFonts w:cstheme="minorHAnsi"/>
        </w:rPr>
        <w:t xml:space="preserve">ontrol, only explains 26.4% of the variance of </w:t>
      </w:r>
      <w:r w:rsidR="00CD4BCE" w:rsidRPr="00FC5BD1">
        <w:rPr>
          <w:rFonts w:cstheme="minorHAnsi"/>
        </w:rPr>
        <w:t>Gen Z</w:t>
      </w:r>
      <w:r w:rsidR="00CF5203" w:rsidRPr="00FC5BD1">
        <w:rPr>
          <w:rFonts w:cstheme="minorHAnsi"/>
        </w:rPr>
        <w:t>’s</w:t>
      </w:r>
      <w:r w:rsidR="00CD4BCE" w:rsidRPr="00FC5BD1">
        <w:rPr>
          <w:rFonts w:cstheme="minorHAnsi"/>
        </w:rPr>
        <w:t xml:space="preserve"> </w:t>
      </w:r>
      <w:r w:rsidR="009E4B29" w:rsidRPr="00FC5BD1">
        <w:rPr>
          <w:rFonts w:cstheme="minorHAnsi"/>
        </w:rPr>
        <w:t xml:space="preserve">sustainable </w:t>
      </w:r>
      <w:r w:rsidR="00CD4BCE" w:rsidRPr="00FC5BD1">
        <w:rPr>
          <w:rFonts w:cstheme="minorHAnsi"/>
        </w:rPr>
        <w:t xml:space="preserve">food </w:t>
      </w:r>
      <w:r w:rsidRPr="00FC5BD1">
        <w:rPr>
          <w:rFonts w:cstheme="minorHAnsi"/>
        </w:rPr>
        <w:t>consumption, which leads to reflect on other variables that should have been considered during that year</w:t>
      </w:r>
      <w:r w:rsidR="00CF5203" w:rsidRPr="00FC5BD1">
        <w:rPr>
          <w:rFonts w:cstheme="minorHAnsi"/>
        </w:rPr>
        <w:t xml:space="preserve"> in which</w:t>
      </w:r>
      <w:r w:rsidR="00CD4BCE" w:rsidRPr="00FC5BD1">
        <w:rPr>
          <w:rFonts w:cstheme="minorHAnsi"/>
        </w:rPr>
        <w:t xml:space="preserve"> </w:t>
      </w:r>
      <w:r w:rsidRPr="00FC5BD1">
        <w:rPr>
          <w:rFonts w:cstheme="minorHAnsi"/>
        </w:rPr>
        <w:t>they were living with restrictions to go out and decide.</w:t>
      </w:r>
    </w:p>
    <w:p w14:paraId="79A76C4C" w14:textId="2514AC26" w:rsidR="000854FF" w:rsidRPr="00FC5BD1" w:rsidRDefault="001B3978" w:rsidP="003C06D5">
      <w:pPr>
        <w:spacing w:after="240" w:line="360" w:lineRule="auto"/>
        <w:jc w:val="both"/>
        <w:rPr>
          <w:rFonts w:cstheme="minorHAnsi"/>
        </w:rPr>
      </w:pPr>
      <w:r w:rsidRPr="00FC5BD1">
        <w:rPr>
          <w:rFonts w:cstheme="minorHAnsi"/>
        </w:rPr>
        <w:t xml:space="preserve">By 2023, subjective norms, perceived behavioral control, sustainable purchase intention, and attitude toward RRRs explain 49.8% of the variability of </w:t>
      </w:r>
      <w:r w:rsidR="009E4B29" w:rsidRPr="00FC5BD1">
        <w:rPr>
          <w:rFonts w:cstheme="minorHAnsi"/>
        </w:rPr>
        <w:t xml:space="preserve">sustainable </w:t>
      </w:r>
      <w:r w:rsidR="00CD4BCE" w:rsidRPr="00FC5BD1">
        <w:rPr>
          <w:rFonts w:cstheme="minorHAnsi"/>
        </w:rPr>
        <w:t xml:space="preserve">food </w:t>
      </w:r>
      <w:r w:rsidRPr="00FC5BD1">
        <w:rPr>
          <w:rFonts w:cstheme="minorHAnsi"/>
        </w:rPr>
        <w:t xml:space="preserve">consumption in </w:t>
      </w:r>
      <w:r w:rsidR="00CF5203" w:rsidRPr="00FC5BD1">
        <w:rPr>
          <w:rFonts w:cstheme="minorHAnsi"/>
        </w:rPr>
        <w:t>C</w:t>
      </w:r>
      <w:r w:rsidRPr="00FC5BD1">
        <w:rPr>
          <w:rFonts w:cstheme="minorHAnsi"/>
        </w:rPr>
        <w:t xml:space="preserve">entennials, indicating good progress in understanding this </w:t>
      </w:r>
      <w:r w:rsidR="00CD4BCE" w:rsidRPr="00FC5BD1">
        <w:rPr>
          <w:rFonts w:cstheme="minorHAnsi"/>
        </w:rPr>
        <w:t>phenomenon</w:t>
      </w:r>
      <w:r w:rsidRPr="00FC5BD1">
        <w:rPr>
          <w:rFonts w:cstheme="minorHAnsi"/>
        </w:rPr>
        <w:t xml:space="preserve">. It should be noted that the variable of attitude towards RRR negatively affects </w:t>
      </w:r>
      <w:r w:rsidR="009E4B29" w:rsidRPr="00FC5BD1">
        <w:rPr>
          <w:rFonts w:cstheme="minorHAnsi"/>
        </w:rPr>
        <w:t xml:space="preserve">sustainable </w:t>
      </w:r>
      <w:r w:rsidR="00CD4BCE" w:rsidRPr="00FC5BD1">
        <w:rPr>
          <w:rFonts w:cstheme="minorHAnsi"/>
        </w:rPr>
        <w:t xml:space="preserve">food </w:t>
      </w:r>
      <w:r w:rsidRPr="00FC5BD1">
        <w:rPr>
          <w:rFonts w:cstheme="minorHAnsi"/>
        </w:rPr>
        <w:t>consumption.</w:t>
      </w:r>
    </w:p>
    <w:p w14:paraId="5BE57668" w14:textId="49189B89" w:rsidR="001B3978" w:rsidRPr="00FC5BD1" w:rsidRDefault="001B3978" w:rsidP="003C06D5">
      <w:pPr>
        <w:spacing w:after="240" w:line="360" w:lineRule="auto"/>
        <w:jc w:val="both"/>
        <w:rPr>
          <w:rFonts w:cstheme="minorHAnsi"/>
        </w:rPr>
      </w:pPr>
      <w:r w:rsidRPr="00FC5BD1">
        <w:rPr>
          <w:rFonts w:cstheme="minorHAnsi"/>
        </w:rPr>
        <w:t xml:space="preserve">With these results, hypothesis 1 is partially </w:t>
      </w:r>
      <w:r w:rsidR="00CD4BCE" w:rsidRPr="00FC5BD1">
        <w:rPr>
          <w:rFonts w:cstheme="minorHAnsi"/>
        </w:rPr>
        <w:t>demonstrated since</w:t>
      </w:r>
      <w:r w:rsidRPr="00FC5BD1">
        <w:rPr>
          <w:rFonts w:cstheme="minorHAnsi"/>
        </w:rPr>
        <w:t xml:space="preserve"> attitude towards RRR is only significant for the 2023 regression equation. </w:t>
      </w:r>
      <w:r w:rsidR="00CD4BCE" w:rsidRPr="00FC5BD1">
        <w:rPr>
          <w:rFonts w:cstheme="minorHAnsi"/>
        </w:rPr>
        <w:t>On the other hand,</w:t>
      </w:r>
      <w:r w:rsidRPr="00FC5BD1">
        <w:rPr>
          <w:rFonts w:cstheme="minorHAnsi"/>
        </w:rPr>
        <w:t xml:space="preserve"> hypotheses 2 and 3 are </w:t>
      </w:r>
      <w:r w:rsidR="00DC298F" w:rsidRPr="00FC5BD1">
        <w:rPr>
          <w:rFonts w:cstheme="minorHAnsi"/>
        </w:rPr>
        <w:t>confirmed since</w:t>
      </w:r>
      <w:r w:rsidRPr="00FC5BD1">
        <w:rPr>
          <w:rFonts w:cstheme="minorHAnsi"/>
        </w:rPr>
        <w:t xml:space="preserve"> subjective norms and perceived behavioral control have a significant effect on the explained variance of </w:t>
      </w:r>
      <w:r w:rsidR="009E4B29" w:rsidRPr="00FC5BD1">
        <w:rPr>
          <w:rFonts w:cstheme="minorHAnsi"/>
        </w:rPr>
        <w:t xml:space="preserve">sustainable </w:t>
      </w:r>
      <w:r w:rsidR="00CD4BCE" w:rsidRPr="00FC5BD1">
        <w:rPr>
          <w:rFonts w:cstheme="minorHAnsi"/>
        </w:rPr>
        <w:t xml:space="preserve">food </w:t>
      </w:r>
      <w:r w:rsidRPr="00FC5BD1">
        <w:rPr>
          <w:rFonts w:cstheme="minorHAnsi"/>
        </w:rPr>
        <w:t xml:space="preserve">consumption for </w:t>
      </w:r>
      <w:r w:rsidR="00CF5203" w:rsidRPr="00FC5BD1">
        <w:rPr>
          <w:rFonts w:cstheme="minorHAnsi"/>
        </w:rPr>
        <w:t>C</w:t>
      </w:r>
      <w:r w:rsidRPr="00FC5BD1">
        <w:rPr>
          <w:rFonts w:cstheme="minorHAnsi"/>
        </w:rPr>
        <w:t xml:space="preserve">entennials </w:t>
      </w:r>
      <w:r w:rsidR="00CD4BCE" w:rsidRPr="00FC5BD1">
        <w:rPr>
          <w:rFonts w:cstheme="minorHAnsi"/>
        </w:rPr>
        <w:t>in</w:t>
      </w:r>
      <w:r w:rsidRPr="00FC5BD1">
        <w:rPr>
          <w:rFonts w:cstheme="minorHAnsi"/>
        </w:rPr>
        <w:t xml:space="preserve"> both years.</w:t>
      </w:r>
    </w:p>
    <w:p w14:paraId="7822E06C" w14:textId="0D61A3F5" w:rsidR="00526D9D" w:rsidRPr="00FC5BD1" w:rsidRDefault="00526D9D" w:rsidP="003C06D5">
      <w:pPr>
        <w:spacing w:after="240" w:line="360" w:lineRule="auto"/>
        <w:jc w:val="both"/>
        <w:rPr>
          <w:rFonts w:cstheme="minorHAnsi"/>
          <w:b/>
          <w:bCs/>
        </w:rPr>
      </w:pPr>
      <w:r w:rsidRPr="00FC5BD1">
        <w:rPr>
          <w:rFonts w:cstheme="minorHAnsi"/>
          <w:b/>
          <w:bCs/>
        </w:rPr>
        <w:lastRenderedPageBreak/>
        <w:t>Test to verify the mediation of sustainable purchase intention</w:t>
      </w:r>
    </w:p>
    <w:p w14:paraId="6D0890B5" w14:textId="0B7D8A1E" w:rsidR="00526D9D" w:rsidRPr="00FC5BD1" w:rsidRDefault="00DC298F" w:rsidP="003C06D5">
      <w:pPr>
        <w:spacing w:after="240" w:line="360" w:lineRule="auto"/>
        <w:jc w:val="both"/>
        <w:rPr>
          <w:rFonts w:cstheme="minorHAnsi"/>
        </w:rPr>
      </w:pPr>
      <w:r w:rsidRPr="00FC5BD1">
        <w:rPr>
          <w:rFonts w:cstheme="minorHAnsi"/>
        </w:rPr>
        <w:t>To</w:t>
      </w:r>
      <w:r w:rsidR="00526D9D" w:rsidRPr="00FC5BD1">
        <w:rPr>
          <w:rFonts w:cstheme="minorHAnsi"/>
        </w:rPr>
        <w:t xml:space="preserve"> verify the mediation of the variable of sustainable purchase intention that </w:t>
      </w:r>
      <w:proofErr w:type="spellStart"/>
      <w:r w:rsidR="00526D9D" w:rsidRPr="00FC5BD1">
        <w:rPr>
          <w:rFonts w:cstheme="minorHAnsi"/>
        </w:rPr>
        <w:t>Azjen</w:t>
      </w:r>
      <w:proofErr w:type="spellEnd"/>
      <w:r w:rsidR="00526D9D" w:rsidRPr="00FC5BD1">
        <w:rPr>
          <w:rFonts w:cstheme="minorHAnsi"/>
        </w:rPr>
        <w:t xml:space="preserve"> (</w:t>
      </w:r>
      <w:r w:rsidR="00526D9D" w:rsidRPr="00FC5BD1">
        <w:rPr>
          <w:rFonts w:cstheme="minorHAnsi"/>
          <w:color w:val="C00000"/>
        </w:rPr>
        <w:t>1991</w:t>
      </w:r>
      <w:r w:rsidR="00526D9D" w:rsidRPr="00FC5BD1">
        <w:rPr>
          <w:rFonts w:cstheme="minorHAnsi"/>
        </w:rPr>
        <w:t>) includes in the original Theory of Planned Behavior</w:t>
      </w:r>
      <w:r w:rsidR="003D18A3" w:rsidRPr="00FC5BD1">
        <w:rPr>
          <w:rFonts w:cstheme="minorHAnsi"/>
        </w:rPr>
        <w:t xml:space="preserve"> model</w:t>
      </w:r>
      <w:r w:rsidR="00526D9D" w:rsidRPr="00FC5BD1">
        <w:rPr>
          <w:rFonts w:cstheme="minorHAnsi"/>
        </w:rPr>
        <w:t xml:space="preserve">, but that in this study is only considered for the year 2023, calculations of direct and indirect effects were </w:t>
      </w:r>
      <w:r w:rsidRPr="00FC5BD1">
        <w:rPr>
          <w:rFonts w:cstheme="minorHAnsi"/>
        </w:rPr>
        <w:t>made</w:t>
      </w:r>
      <w:r w:rsidR="00526D9D" w:rsidRPr="00FC5BD1">
        <w:rPr>
          <w:rFonts w:cstheme="minorHAnsi"/>
        </w:rPr>
        <w:t xml:space="preserve"> for each year and </w:t>
      </w:r>
      <w:r w:rsidR="003D18A3" w:rsidRPr="00FC5BD1">
        <w:rPr>
          <w:rFonts w:cstheme="minorHAnsi"/>
        </w:rPr>
        <w:t>overall</w:t>
      </w:r>
      <w:r w:rsidR="00526D9D" w:rsidRPr="00FC5BD1">
        <w:rPr>
          <w:rFonts w:cstheme="minorHAnsi"/>
        </w:rPr>
        <w:t>.</w:t>
      </w:r>
    </w:p>
    <w:p w14:paraId="0227F8A5" w14:textId="346D9F2D" w:rsidR="001B3978" w:rsidRPr="00FC5BD1" w:rsidRDefault="00526D9D" w:rsidP="003C06D5">
      <w:pPr>
        <w:spacing w:after="240" w:line="360" w:lineRule="auto"/>
        <w:jc w:val="both"/>
        <w:rPr>
          <w:rFonts w:cstheme="minorHAnsi"/>
        </w:rPr>
      </w:pPr>
      <w:r w:rsidRPr="00FC5BD1">
        <w:rPr>
          <w:rFonts w:cstheme="minorHAnsi"/>
        </w:rPr>
        <w:t>The Process</w:t>
      </w:r>
      <w:r w:rsidR="00062483" w:rsidRPr="00FC5BD1">
        <w:rPr>
          <w:rFonts w:cstheme="minorHAnsi"/>
        </w:rPr>
        <w:t xml:space="preserve"> macro</w:t>
      </w:r>
      <w:r w:rsidRPr="00FC5BD1">
        <w:rPr>
          <w:rFonts w:cstheme="minorHAnsi"/>
        </w:rPr>
        <w:t xml:space="preserve"> for SPSS Stati</w:t>
      </w:r>
      <w:r w:rsidR="00DC298F" w:rsidRPr="00FC5BD1">
        <w:rPr>
          <w:rFonts w:cstheme="minorHAnsi"/>
        </w:rPr>
        <w:t>stic</w:t>
      </w:r>
      <w:r w:rsidRPr="00FC5BD1">
        <w:rPr>
          <w:rFonts w:cstheme="minorHAnsi"/>
        </w:rPr>
        <w:t>s was used</w:t>
      </w:r>
      <w:r w:rsidR="003D18A3" w:rsidRPr="00FC5BD1">
        <w:rPr>
          <w:rFonts w:cstheme="minorHAnsi"/>
        </w:rPr>
        <w:t xml:space="preserve">, employing </w:t>
      </w:r>
      <w:r w:rsidRPr="00FC5BD1">
        <w:rPr>
          <w:rFonts w:cstheme="minorHAnsi"/>
        </w:rPr>
        <w:t xml:space="preserve">the </w:t>
      </w:r>
      <w:proofErr w:type="spellStart"/>
      <w:r w:rsidRPr="00FC5BD1">
        <w:rPr>
          <w:rFonts w:cstheme="minorHAnsi"/>
        </w:rPr>
        <w:t>boostrapping</w:t>
      </w:r>
      <w:proofErr w:type="spellEnd"/>
      <w:r w:rsidRPr="00FC5BD1">
        <w:rPr>
          <w:rFonts w:cstheme="minorHAnsi"/>
        </w:rPr>
        <w:t xml:space="preserve"> technique (Hayes, </w:t>
      </w:r>
      <w:r w:rsidRPr="00FC5BD1">
        <w:rPr>
          <w:rFonts w:cstheme="minorHAnsi"/>
          <w:color w:val="C00000"/>
        </w:rPr>
        <w:t>2018</w:t>
      </w:r>
      <w:r w:rsidRPr="00FC5BD1">
        <w:rPr>
          <w:rFonts w:cstheme="minorHAnsi"/>
        </w:rPr>
        <w:t xml:space="preserve">). </w:t>
      </w:r>
      <w:r w:rsidR="003720C5" w:rsidRPr="00FC5BD1">
        <w:rPr>
          <w:rFonts w:cstheme="minorHAnsi"/>
        </w:rPr>
        <w:t>S</w:t>
      </w:r>
      <w:r w:rsidRPr="00FC5BD1">
        <w:rPr>
          <w:rFonts w:cstheme="minorHAnsi"/>
        </w:rPr>
        <w:t xml:space="preserve">ubjective norms and perceived behavioral control were </w:t>
      </w:r>
      <w:r w:rsidR="003720C5" w:rsidRPr="00FC5BD1">
        <w:rPr>
          <w:rFonts w:cstheme="minorHAnsi"/>
        </w:rPr>
        <w:t>considered independent variables (IV)</w:t>
      </w:r>
      <w:r w:rsidRPr="00FC5BD1">
        <w:rPr>
          <w:rFonts w:cstheme="minorHAnsi"/>
        </w:rPr>
        <w:t xml:space="preserve"> for 2021</w:t>
      </w:r>
      <w:r w:rsidR="003720C5" w:rsidRPr="00FC5BD1">
        <w:rPr>
          <w:rFonts w:cstheme="minorHAnsi"/>
        </w:rPr>
        <w:t>. The variable a</w:t>
      </w:r>
      <w:r w:rsidRPr="00FC5BD1">
        <w:rPr>
          <w:rFonts w:cstheme="minorHAnsi"/>
        </w:rPr>
        <w:t xml:space="preserve">ttitude towards RRR </w:t>
      </w:r>
      <w:r w:rsidR="003720C5" w:rsidRPr="00FC5BD1">
        <w:rPr>
          <w:rFonts w:cstheme="minorHAnsi"/>
        </w:rPr>
        <w:t xml:space="preserve">was added </w:t>
      </w:r>
      <w:r w:rsidRPr="00FC5BD1">
        <w:rPr>
          <w:rFonts w:cstheme="minorHAnsi"/>
        </w:rPr>
        <w:t xml:space="preserve">in 2023 because </w:t>
      </w:r>
      <w:r w:rsidR="003720C5" w:rsidRPr="00FC5BD1">
        <w:rPr>
          <w:rFonts w:cstheme="minorHAnsi"/>
        </w:rPr>
        <w:t>it</w:t>
      </w:r>
      <w:r w:rsidRPr="00FC5BD1">
        <w:rPr>
          <w:rFonts w:cstheme="minorHAnsi"/>
        </w:rPr>
        <w:t xml:space="preserve"> </w:t>
      </w:r>
      <w:r w:rsidR="003720C5" w:rsidRPr="00FC5BD1">
        <w:rPr>
          <w:rFonts w:cstheme="minorHAnsi"/>
        </w:rPr>
        <w:t>is</w:t>
      </w:r>
      <w:r w:rsidRPr="00FC5BD1">
        <w:rPr>
          <w:rFonts w:cstheme="minorHAnsi"/>
        </w:rPr>
        <w:t xml:space="preserve"> the one that provide</w:t>
      </w:r>
      <w:r w:rsidR="003720C5" w:rsidRPr="00FC5BD1">
        <w:rPr>
          <w:rFonts w:cstheme="minorHAnsi"/>
        </w:rPr>
        <w:t>s</w:t>
      </w:r>
      <w:r w:rsidRPr="00FC5BD1">
        <w:rPr>
          <w:rFonts w:cstheme="minorHAnsi"/>
        </w:rPr>
        <w:t xml:space="preserve"> the greatest explanation of the variance of sustainable </w:t>
      </w:r>
      <w:r w:rsidR="009E4B29" w:rsidRPr="00FC5BD1">
        <w:rPr>
          <w:rFonts w:cstheme="minorHAnsi"/>
        </w:rPr>
        <w:t xml:space="preserve">food </w:t>
      </w:r>
      <w:r w:rsidRPr="00FC5BD1">
        <w:rPr>
          <w:rFonts w:cstheme="minorHAnsi"/>
        </w:rPr>
        <w:t>consumption (</w:t>
      </w:r>
      <w:r w:rsidR="003720C5" w:rsidRPr="00FC5BD1">
        <w:rPr>
          <w:rFonts w:cstheme="minorHAnsi"/>
        </w:rPr>
        <w:t>S</w:t>
      </w:r>
      <w:r w:rsidR="009E4B29" w:rsidRPr="00FC5BD1">
        <w:rPr>
          <w:rFonts w:cstheme="minorHAnsi"/>
        </w:rPr>
        <w:t>F</w:t>
      </w:r>
      <w:r w:rsidR="003720C5" w:rsidRPr="00FC5BD1">
        <w:rPr>
          <w:rFonts w:cstheme="minorHAnsi"/>
        </w:rPr>
        <w:t>C</w:t>
      </w:r>
      <w:r w:rsidRPr="00FC5BD1">
        <w:rPr>
          <w:rFonts w:cstheme="minorHAnsi"/>
        </w:rPr>
        <w:t xml:space="preserve">). </w:t>
      </w:r>
      <w:r w:rsidR="003D18A3" w:rsidRPr="00FC5BD1">
        <w:rPr>
          <w:rFonts w:cstheme="minorHAnsi"/>
        </w:rPr>
        <w:t>T</w:t>
      </w:r>
      <w:r w:rsidRPr="00FC5BD1">
        <w:rPr>
          <w:rFonts w:cstheme="minorHAnsi"/>
        </w:rPr>
        <w:t>his</w:t>
      </w:r>
      <w:r w:rsidR="003D18A3" w:rsidRPr="00FC5BD1">
        <w:rPr>
          <w:rFonts w:cstheme="minorHAnsi"/>
        </w:rPr>
        <w:t>,</w:t>
      </w:r>
      <w:r w:rsidR="006C510B" w:rsidRPr="00FC5BD1">
        <w:rPr>
          <w:rFonts w:cstheme="minorHAnsi"/>
        </w:rPr>
        <w:t xml:space="preserve"> </w:t>
      </w:r>
      <w:r w:rsidR="003D18A3" w:rsidRPr="00FC5BD1">
        <w:rPr>
          <w:rFonts w:cstheme="minorHAnsi"/>
        </w:rPr>
        <w:t>to</w:t>
      </w:r>
      <w:r w:rsidRPr="00FC5BD1">
        <w:rPr>
          <w:rFonts w:cstheme="minorHAnsi"/>
        </w:rPr>
        <w:t xml:space="preserve"> measure the significance of the </w:t>
      </w:r>
      <w:r w:rsidR="006C510B" w:rsidRPr="00FC5BD1">
        <w:rPr>
          <w:rFonts w:cstheme="minorHAnsi"/>
        </w:rPr>
        <w:t>mediating</w:t>
      </w:r>
      <w:r w:rsidRPr="00FC5BD1">
        <w:rPr>
          <w:rFonts w:cstheme="minorHAnsi"/>
        </w:rPr>
        <w:t xml:space="preserve"> effect of </w:t>
      </w:r>
      <w:r w:rsidR="006C510B" w:rsidRPr="00FC5BD1">
        <w:rPr>
          <w:rFonts w:cstheme="minorHAnsi"/>
        </w:rPr>
        <w:t xml:space="preserve">the sustainable </w:t>
      </w:r>
      <w:r w:rsidRPr="00FC5BD1">
        <w:rPr>
          <w:rFonts w:cstheme="minorHAnsi"/>
        </w:rPr>
        <w:t>purchase intention (</w:t>
      </w:r>
      <w:r w:rsidR="006C510B" w:rsidRPr="00FC5BD1">
        <w:rPr>
          <w:rFonts w:cstheme="minorHAnsi"/>
        </w:rPr>
        <w:t>SPI</w:t>
      </w:r>
      <w:r w:rsidRPr="00FC5BD1">
        <w:rPr>
          <w:rFonts w:cstheme="minorHAnsi"/>
        </w:rPr>
        <w:t xml:space="preserve">) </w:t>
      </w:r>
      <w:r w:rsidR="00AB7E9C" w:rsidRPr="00FC5BD1">
        <w:rPr>
          <w:rFonts w:cstheme="minorHAnsi"/>
        </w:rPr>
        <w:t xml:space="preserve">(Ato &amp; Vallejo, </w:t>
      </w:r>
      <w:r w:rsidR="00AB7E9C" w:rsidRPr="00FC5BD1">
        <w:rPr>
          <w:rFonts w:cstheme="minorHAnsi"/>
          <w:color w:val="C00000"/>
        </w:rPr>
        <w:t>2011</w:t>
      </w:r>
      <w:r w:rsidR="00AB7E9C" w:rsidRPr="00FC5BD1">
        <w:rPr>
          <w:rFonts w:cstheme="minorHAnsi"/>
        </w:rPr>
        <w:t xml:space="preserve">) </w:t>
      </w:r>
      <w:r w:rsidRPr="00FC5BD1">
        <w:rPr>
          <w:rFonts w:cstheme="minorHAnsi"/>
        </w:rPr>
        <w:t xml:space="preserve">as shown in </w:t>
      </w:r>
      <w:r w:rsidR="003D18A3" w:rsidRPr="00FC5BD1">
        <w:rPr>
          <w:rFonts w:cstheme="minorHAnsi"/>
        </w:rPr>
        <w:t>F</w:t>
      </w:r>
      <w:r w:rsidRPr="00FC5BD1">
        <w:rPr>
          <w:rFonts w:cstheme="minorHAnsi"/>
        </w:rPr>
        <w:t>igure 2.</w:t>
      </w:r>
    </w:p>
    <w:p w14:paraId="5603DF86" w14:textId="4DD5FAF8" w:rsidR="00526D9D" w:rsidRPr="00FC5BD1" w:rsidRDefault="00526D9D" w:rsidP="001D7591">
      <w:pPr>
        <w:spacing w:line="360" w:lineRule="auto"/>
        <w:jc w:val="both"/>
        <w:rPr>
          <w:rFonts w:cstheme="minorHAnsi"/>
          <w:b/>
          <w:bCs/>
        </w:rPr>
      </w:pPr>
      <w:r w:rsidRPr="00FC5BD1">
        <w:rPr>
          <w:rFonts w:cstheme="minorHAnsi"/>
          <w:b/>
          <w:bCs/>
        </w:rPr>
        <w:t xml:space="preserve">Figure 2. </w:t>
      </w:r>
    </w:p>
    <w:p w14:paraId="0909BF7D" w14:textId="72ACA0EC" w:rsidR="00526D9D" w:rsidRPr="00FC5BD1" w:rsidRDefault="006C510B" w:rsidP="001D7591">
      <w:pPr>
        <w:spacing w:line="360" w:lineRule="auto"/>
        <w:jc w:val="both"/>
        <w:rPr>
          <w:rFonts w:cstheme="minorHAnsi"/>
        </w:rPr>
      </w:pPr>
      <w:r w:rsidRPr="00FC5BD1">
        <w:rPr>
          <w:rFonts w:cstheme="minorHAnsi"/>
        </w:rPr>
        <w:t>Sustainable p</w:t>
      </w:r>
      <w:r w:rsidR="00526D9D" w:rsidRPr="00FC5BD1">
        <w:rPr>
          <w:rFonts w:cstheme="minorHAnsi"/>
        </w:rPr>
        <w:t>urchase intention mediation</w:t>
      </w:r>
    </w:p>
    <w:p w14:paraId="6629CF30" w14:textId="0044F3FA" w:rsidR="00526D9D" w:rsidRPr="00FC5BD1" w:rsidRDefault="00123CBB" w:rsidP="003C06D5">
      <w:pPr>
        <w:spacing w:after="240" w:line="360" w:lineRule="auto"/>
        <w:jc w:val="both"/>
        <w:rPr>
          <w:rFonts w:cstheme="minorHAnsi"/>
        </w:rPr>
      </w:pPr>
      <w:r w:rsidRPr="00FC5BD1">
        <w:rPr>
          <w:rFonts w:cstheme="minorHAnsi"/>
          <w:noProof/>
        </w:rPr>
        <w:drawing>
          <wp:inline distT="0" distB="0" distL="0" distR="0" wp14:anchorId="7050654E" wp14:editId="72030CA6">
            <wp:extent cx="5612130" cy="2309495"/>
            <wp:effectExtent l="0" t="0" r="1270" b="0"/>
            <wp:docPr id="6031084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108454" name=""/>
                    <pic:cNvPicPr/>
                  </pic:nvPicPr>
                  <pic:blipFill>
                    <a:blip r:embed="rId14"/>
                    <a:stretch>
                      <a:fillRect/>
                    </a:stretch>
                  </pic:blipFill>
                  <pic:spPr>
                    <a:xfrm>
                      <a:off x="0" y="0"/>
                      <a:ext cx="5612130" cy="2309495"/>
                    </a:xfrm>
                    <a:prstGeom prst="rect">
                      <a:avLst/>
                    </a:prstGeom>
                  </pic:spPr>
                </pic:pic>
              </a:graphicData>
            </a:graphic>
          </wp:inline>
        </w:drawing>
      </w:r>
    </w:p>
    <w:p w14:paraId="4797B882" w14:textId="6A578657" w:rsidR="00526D9D" w:rsidRPr="00FC5BD1" w:rsidRDefault="00526D9D" w:rsidP="003C06D5">
      <w:pPr>
        <w:spacing w:after="240" w:line="360" w:lineRule="auto"/>
        <w:jc w:val="both"/>
        <w:rPr>
          <w:rFonts w:cstheme="minorHAnsi"/>
        </w:rPr>
      </w:pPr>
      <w:r w:rsidRPr="00FC5BD1">
        <w:rPr>
          <w:rFonts w:cstheme="minorHAnsi"/>
        </w:rPr>
        <w:t xml:space="preserve">Source: </w:t>
      </w:r>
      <w:r w:rsidR="006C510B" w:rsidRPr="00FC5BD1">
        <w:rPr>
          <w:rFonts w:cstheme="minorHAnsi"/>
        </w:rPr>
        <w:t>own elaboration</w:t>
      </w:r>
      <w:r w:rsidR="005F4E60" w:rsidRPr="00FC5BD1">
        <w:rPr>
          <w:rFonts w:cstheme="minorHAnsi"/>
        </w:rPr>
        <w:t>, 2024.</w:t>
      </w:r>
    </w:p>
    <w:p w14:paraId="27D9DDDA" w14:textId="77777777" w:rsidR="00654238" w:rsidRPr="00FC5BD1" w:rsidRDefault="00654238" w:rsidP="003C06D5">
      <w:pPr>
        <w:spacing w:after="240" w:line="360" w:lineRule="auto"/>
        <w:jc w:val="both"/>
        <w:rPr>
          <w:rFonts w:cstheme="minorHAnsi"/>
        </w:rPr>
      </w:pPr>
    </w:p>
    <w:p w14:paraId="1CFFDF77" w14:textId="15423437" w:rsidR="00526D9D" w:rsidRPr="00FC5BD1" w:rsidRDefault="00526D9D" w:rsidP="003C06D5">
      <w:pPr>
        <w:spacing w:after="240" w:line="360" w:lineRule="auto"/>
        <w:jc w:val="both"/>
        <w:rPr>
          <w:rFonts w:cstheme="minorHAnsi"/>
        </w:rPr>
      </w:pPr>
      <w:r w:rsidRPr="00FC5BD1">
        <w:rPr>
          <w:rFonts w:cstheme="minorHAnsi"/>
        </w:rPr>
        <w:lastRenderedPageBreak/>
        <w:t xml:space="preserve">To calculate </w:t>
      </w:r>
      <w:r w:rsidR="00634AEA" w:rsidRPr="00FC5BD1">
        <w:rPr>
          <w:rFonts w:cstheme="minorHAnsi"/>
        </w:rPr>
        <w:t xml:space="preserve">the </w:t>
      </w:r>
      <w:r w:rsidRPr="00FC5BD1">
        <w:rPr>
          <w:rFonts w:cstheme="minorHAnsi"/>
        </w:rPr>
        <w:t xml:space="preserve">mediation, the following equations are considered (Ato and Vallejo, </w:t>
      </w:r>
      <w:r w:rsidRPr="00FC5BD1">
        <w:rPr>
          <w:rFonts w:cstheme="minorHAnsi"/>
          <w:color w:val="C00000"/>
        </w:rPr>
        <w:t>2011</w:t>
      </w:r>
      <w:r w:rsidRPr="00FC5BD1">
        <w:rPr>
          <w:rFonts w:cstheme="minorHAnsi"/>
        </w:rPr>
        <w:t>):</w:t>
      </w:r>
    </w:p>
    <w:p w14:paraId="57AA4C0F" w14:textId="663D04D0" w:rsidR="00526D9D" w:rsidRPr="0064655D" w:rsidRDefault="00526D9D" w:rsidP="003C06D5">
      <w:pPr>
        <w:spacing w:after="240" w:line="360" w:lineRule="auto"/>
        <w:jc w:val="both"/>
        <w:rPr>
          <w:rFonts w:cstheme="minorHAnsi"/>
          <w:lang w:val="pt-BR"/>
        </w:rPr>
      </w:pPr>
      <w:r w:rsidRPr="0064655D">
        <w:rPr>
          <w:rFonts w:cstheme="minorHAnsi"/>
          <w:lang w:val="pt-BR"/>
        </w:rPr>
        <w:t xml:space="preserve">SPI= </w:t>
      </w:r>
      <w:proofErr w:type="spellStart"/>
      <w:r w:rsidRPr="0064655D">
        <w:rPr>
          <w:rFonts w:cstheme="minorHAnsi"/>
          <w:lang w:val="pt-BR"/>
        </w:rPr>
        <w:t>aIV</w:t>
      </w:r>
      <w:proofErr w:type="spellEnd"/>
      <w:r w:rsidRPr="0064655D">
        <w:rPr>
          <w:rFonts w:cstheme="minorHAnsi"/>
          <w:lang w:val="pt-BR"/>
        </w:rPr>
        <w:t xml:space="preserve"> + e</w:t>
      </w:r>
      <w:r w:rsidRPr="0064655D">
        <w:rPr>
          <w:rFonts w:cstheme="minorHAnsi"/>
          <w:vertAlign w:val="subscript"/>
          <w:lang w:val="pt-BR"/>
        </w:rPr>
        <w:t xml:space="preserve">2 </w:t>
      </w:r>
      <w:r w:rsidRPr="0064655D">
        <w:rPr>
          <w:rFonts w:cstheme="minorHAnsi"/>
          <w:lang w:val="pt-BR"/>
        </w:rPr>
        <w:t>(1)</w:t>
      </w:r>
      <w:r w:rsidRPr="0064655D">
        <w:rPr>
          <w:rFonts w:cstheme="minorHAnsi"/>
          <w:lang w:val="pt-BR"/>
        </w:rPr>
        <w:tab/>
      </w:r>
      <w:r w:rsidRPr="0064655D">
        <w:rPr>
          <w:rFonts w:cstheme="minorHAnsi"/>
          <w:lang w:val="pt-BR"/>
        </w:rPr>
        <w:tab/>
        <w:t>S</w:t>
      </w:r>
      <w:r w:rsidR="009E4B29" w:rsidRPr="0064655D">
        <w:rPr>
          <w:rFonts w:cstheme="minorHAnsi"/>
          <w:lang w:val="pt-BR"/>
        </w:rPr>
        <w:t>F</w:t>
      </w:r>
      <w:r w:rsidRPr="0064655D">
        <w:rPr>
          <w:rFonts w:cstheme="minorHAnsi"/>
          <w:lang w:val="pt-BR"/>
        </w:rPr>
        <w:t xml:space="preserve">C= </w:t>
      </w:r>
      <w:proofErr w:type="spellStart"/>
      <w:r w:rsidRPr="0064655D">
        <w:rPr>
          <w:rFonts w:cstheme="minorHAnsi"/>
          <w:lang w:val="pt-BR"/>
        </w:rPr>
        <w:t>c’IV</w:t>
      </w:r>
      <w:proofErr w:type="spellEnd"/>
      <w:r w:rsidRPr="0064655D">
        <w:rPr>
          <w:rFonts w:cstheme="minorHAnsi"/>
          <w:lang w:val="pt-BR"/>
        </w:rPr>
        <w:t xml:space="preserve"> + </w:t>
      </w:r>
      <w:proofErr w:type="spellStart"/>
      <w:r w:rsidRPr="0064655D">
        <w:rPr>
          <w:rFonts w:cstheme="minorHAnsi"/>
          <w:lang w:val="pt-BR"/>
        </w:rPr>
        <w:t>bSPI</w:t>
      </w:r>
      <w:proofErr w:type="spellEnd"/>
      <w:r w:rsidRPr="0064655D">
        <w:rPr>
          <w:rFonts w:cstheme="minorHAnsi"/>
          <w:lang w:val="pt-BR"/>
        </w:rPr>
        <w:t xml:space="preserve"> + e</w:t>
      </w:r>
      <w:r w:rsidRPr="0064655D">
        <w:rPr>
          <w:rFonts w:cstheme="minorHAnsi"/>
          <w:vertAlign w:val="subscript"/>
          <w:lang w:val="pt-BR"/>
        </w:rPr>
        <w:t xml:space="preserve">3 </w:t>
      </w:r>
      <w:r w:rsidRPr="0064655D">
        <w:rPr>
          <w:rFonts w:cstheme="minorHAnsi"/>
          <w:lang w:val="pt-BR"/>
        </w:rPr>
        <w:t>(2)</w:t>
      </w:r>
      <w:r w:rsidRPr="0064655D">
        <w:rPr>
          <w:rFonts w:cstheme="minorHAnsi"/>
          <w:lang w:val="pt-BR"/>
        </w:rPr>
        <w:tab/>
      </w:r>
      <w:r w:rsidRPr="0064655D">
        <w:rPr>
          <w:rFonts w:cstheme="minorHAnsi"/>
          <w:lang w:val="pt-BR"/>
        </w:rPr>
        <w:tab/>
        <w:t>S</w:t>
      </w:r>
      <w:r w:rsidR="009E4B29" w:rsidRPr="0064655D">
        <w:rPr>
          <w:rFonts w:cstheme="minorHAnsi"/>
          <w:lang w:val="pt-BR"/>
        </w:rPr>
        <w:t>F</w:t>
      </w:r>
      <w:r w:rsidR="00E66612" w:rsidRPr="0064655D">
        <w:rPr>
          <w:rFonts w:cstheme="minorHAnsi"/>
          <w:lang w:val="pt-BR"/>
        </w:rPr>
        <w:t>C</w:t>
      </w:r>
      <w:r w:rsidRPr="0064655D">
        <w:rPr>
          <w:rFonts w:cstheme="minorHAnsi"/>
          <w:lang w:val="pt-BR"/>
        </w:rPr>
        <w:t xml:space="preserve">= </w:t>
      </w:r>
      <w:proofErr w:type="spellStart"/>
      <w:r w:rsidRPr="0064655D">
        <w:rPr>
          <w:rFonts w:cstheme="minorHAnsi"/>
          <w:lang w:val="pt-BR"/>
        </w:rPr>
        <w:t>cIV</w:t>
      </w:r>
      <w:proofErr w:type="spellEnd"/>
      <w:r w:rsidRPr="0064655D">
        <w:rPr>
          <w:rFonts w:cstheme="minorHAnsi"/>
          <w:lang w:val="pt-BR"/>
        </w:rPr>
        <w:t>+ e</w:t>
      </w:r>
      <w:r w:rsidRPr="0064655D">
        <w:rPr>
          <w:rFonts w:cstheme="minorHAnsi"/>
          <w:vertAlign w:val="subscript"/>
          <w:lang w:val="pt-BR"/>
        </w:rPr>
        <w:t xml:space="preserve">1 </w:t>
      </w:r>
      <w:r w:rsidRPr="0064655D">
        <w:rPr>
          <w:rFonts w:cstheme="minorHAnsi"/>
          <w:lang w:val="pt-BR"/>
        </w:rPr>
        <w:t>(3)</w:t>
      </w:r>
    </w:p>
    <w:p w14:paraId="5539C49A" w14:textId="12CD10D0" w:rsidR="00526D9D" w:rsidRPr="00FC5BD1" w:rsidRDefault="00526D9D" w:rsidP="003C06D5">
      <w:pPr>
        <w:spacing w:after="240" w:line="360" w:lineRule="auto"/>
        <w:jc w:val="both"/>
        <w:rPr>
          <w:rFonts w:cstheme="minorHAnsi"/>
        </w:rPr>
      </w:pPr>
      <w:r w:rsidRPr="00FC5BD1">
        <w:rPr>
          <w:rFonts w:cstheme="minorHAnsi"/>
        </w:rPr>
        <w:t>e</w:t>
      </w:r>
      <w:r w:rsidRPr="00FC5BD1">
        <w:rPr>
          <w:rFonts w:cstheme="minorHAnsi"/>
          <w:vertAlign w:val="subscript"/>
        </w:rPr>
        <w:t>1</w:t>
      </w:r>
      <w:r w:rsidRPr="00FC5BD1">
        <w:rPr>
          <w:rFonts w:cstheme="minorHAnsi"/>
        </w:rPr>
        <w:t>, e</w:t>
      </w:r>
      <w:r w:rsidRPr="00FC5BD1">
        <w:rPr>
          <w:rFonts w:cstheme="minorHAnsi"/>
          <w:vertAlign w:val="subscript"/>
        </w:rPr>
        <w:t>2</w:t>
      </w:r>
      <w:r w:rsidRPr="00FC5BD1">
        <w:rPr>
          <w:rFonts w:cstheme="minorHAnsi"/>
        </w:rPr>
        <w:t xml:space="preserve"> y e</w:t>
      </w:r>
      <w:r w:rsidRPr="00FC5BD1">
        <w:rPr>
          <w:rFonts w:cstheme="minorHAnsi"/>
          <w:vertAlign w:val="subscript"/>
        </w:rPr>
        <w:t>3</w:t>
      </w:r>
      <w:r w:rsidRPr="00FC5BD1">
        <w:rPr>
          <w:rFonts w:cstheme="minorHAnsi"/>
        </w:rPr>
        <w:t xml:space="preserve"> are the unexplained residuals in the three equations. The coefficient c is the total effect (not mediated) and c' is the direct effect. The product of a*b </w:t>
      </w:r>
      <w:proofErr w:type="gramStart"/>
      <w:r w:rsidRPr="00FC5BD1">
        <w:rPr>
          <w:rFonts w:cstheme="minorHAnsi"/>
        </w:rPr>
        <w:t>is</w:t>
      </w:r>
      <w:proofErr w:type="gramEnd"/>
      <w:r w:rsidRPr="00FC5BD1">
        <w:rPr>
          <w:rFonts w:cstheme="minorHAnsi"/>
        </w:rPr>
        <w:t xml:space="preserve"> the indirect effect.</w:t>
      </w:r>
    </w:p>
    <w:p w14:paraId="115DD468" w14:textId="34956553" w:rsidR="00526D9D" w:rsidRPr="00FC5BD1" w:rsidRDefault="00526D9D" w:rsidP="003C06D5">
      <w:pPr>
        <w:spacing w:after="240" w:line="360" w:lineRule="auto"/>
        <w:jc w:val="both"/>
        <w:rPr>
          <w:rFonts w:cstheme="minorHAnsi"/>
        </w:rPr>
      </w:pPr>
      <w:r w:rsidRPr="00FC5BD1">
        <w:rPr>
          <w:rFonts w:cstheme="minorHAnsi"/>
        </w:rPr>
        <w:t xml:space="preserve">The mediation results calculated with the Process macro (Hayes, </w:t>
      </w:r>
      <w:r w:rsidRPr="00FC5BD1">
        <w:rPr>
          <w:rFonts w:cstheme="minorHAnsi"/>
          <w:color w:val="C00000"/>
        </w:rPr>
        <w:t>2018</w:t>
      </w:r>
      <w:r w:rsidRPr="00FC5BD1">
        <w:rPr>
          <w:rFonts w:cstheme="minorHAnsi"/>
        </w:rPr>
        <w:t xml:space="preserve">) are shown in Table </w:t>
      </w:r>
      <w:r w:rsidR="00AB5E9A" w:rsidRPr="00FC5BD1">
        <w:rPr>
          <w:rFonts w:cstheme="minorHAnsi"/>
        </w:rPr>
        <w:t>6</w:t>
      </w:r>
      <w:r w:rsidRPr="00FC5BD1">
        <w:rPr>
          <w:rFonts w:cstheme="minorHAnsi"/>
        </w:rPr>
        <w:t>.</w:t>
      </w:r>
    </w:p>
    <w:p w14:paraId="44A59875" w14:textId="23C53792" w:rsidR="00526D9D" w:rsidRPr="00FC5BD1" w:rsidRDefault="00526D9D" w:rsidP="001D7591">
      <w:pPr>
        <w:spacing w:line="360" w:lineRule="auto"/>
        <w:jc w:val="both"/>
        <w:rPr>
          <w:rFonts w:cstheme="minorHAnsi"/>
          <w:b/>
          <w:bCs/>
        </w:rPr>
      </w:pPr>
      <w:r w:rsidRPr="00FC5BD1">
        <w:rPr>
          <w:rFonts w:cstheme="minorHAnsi"/>
          <w:b/>
          <w:bCs/>
        </w:rPr>
        <w:t xml:space="preserve">Table </w:t>
      </w:r>
      <w:r w:rsidR="00AB5E9A" w:rsidRPr="00FC5BD1">
        <w:rPr>
          <w:rFonts w:cstheme="minorHAnsi"/>
          <w:b/>
          <w:bCs/>
        </w:rPr>
        <w:t>6</w:t>
      </w:r>
      <w:r w:rsidRPr="00FC5BD1">
        <w:rPr>
          <w:rFonts w:cstheme="minorHAnsi"/>
          <w:b/>
          <w:bCs/>
        </w:rPr>
        <w:t>.</w:t>
      </w:r>
    </w:p>
    <w:p w14:paraId="17D7B5C2" w14:textId="40EA64F3" w:rsidR="00526D9D" w:rsidRPr="00FC5BD1" w:rsidRDefault="002121C4" w:rsidP="001D7591">
      <w:pPr>
        <w:spacing w:line="360" w:lineRule="auto"/>
        <w:jc w:val="both"/>
        <w:rPr>
          <w:rFonts w:cstheme="minorHAnsi"/>
        </w:rPr>
      </w:pPr>
      <w:r w:rsidRPr="00FC5BD1">
        <w:rPr>
          <w:rFonts w:cstheme="minorHAnsi"/>
        </w:rPr>
        <w:t>Gen Z Sustainable</w:t>
      </w:r>
      <w:r w:rsidR="00526D9D" w:rsidRPr="00FC5BD1">
        <w:rPr>
          <w:rFonts w:cstheme="minorHAnsi"/>
        </w:rPr>
        <w:t xml:space="preserve"> Purchase Intent</w:t>
      </w:r>
      <w:r w:rsidR="00D2280A" w:rsidRPr="00FC5BD1">
        <w:rPr>
          <w:rFonts w:cstheme="minorHAnsi"/>
        </w:rPr>
        <w:t>ion</w:t>
      </w:r>
      <w:r w:rsidR="00526D9D" w:rsidRPr="00FC5BD1">
        <w:rPr>
          <w:rFonts w:cstheme="minorHAnsi"/>
        </w:rPr>
        <w:t xml:space="preserve"> mediation test for 2021 and 2023</w:t>
      </w:r>
      <w:r w:rsidRPr="00FC5BD1">
        <w:rPr>
          <w:rFonts w:cstheme="minorHAnsi"/>
        </w:rPr>
        <w:t xml:space="preserve"> </w:t>
      </w:r>
    </w:p>
    <w:p w14:paraId="4D1F5F4C" w14:textId="30FFA6B6" w:rsidR="00526D9D" w:rsidRPr="00FC5BD1" w:rsidRDefault="00123CBB" w:rsidP="00123CBB">
      <w:pPr>
        <w:spacing w:line="360" w:lineRule="auto"/>
        <w:jc w:val="both"/>
        <w:rPr>
          <w:rFonts w:cstheme="minorHAnsi"/>
          <w:b/>
          <w:bCs/>
        </w:rPr>
      </w:pPr>
      <w:r w:rsidRPr="00FC5BD1">
        <w:rPr>
          <w:rFonts w:cstheme="minorHAnsi"/>
          <w:b/>
          <w:bCs/>
          <w:noProof/>
        </w:rPr>
        <w:drawing>
          <wp:inline distT="0" distB="0" distL="0" distR="0" wp14:anchorId="5AAB6C62" wp14:editId="33F32FC9">
            <wp:extent cx="5612130" cy="3024505"/>
            <wp:effectExtent l="0" t="0" r="1270" b="0"/>
            <wp:docPr id="13716394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639486" name=""/>
                    <pic:cNvPicPr/>
                  </pic:nvPicPr>
                  <pic:blipFill>
                    <a:blip r:embed="rId15"/>
                    <a:stretch>
                      <a:fillRect/>
                    </a:stretch>
                  </pic:blipFill>
                  <pic:spPr>
                    <a:xfrm>
                      <a:off x="0" y="0"/>
                      <a:ext cx="5612130" cy="3024505"/>
                    </a:xfrm>
                    <a:prstGeom prst="rect">
                      <a:avLst/>
                    </a:prstGeom>
                  </pic:spPr>
                </pic:pic>
              </a:graphicData>
            </a:graphic>
          </wp:inline>
        </w:drawing>
      </w:r>
    </w:p>
    <w:p w14:paraId="6D2D68EA" w14:textId="2C8A3E51" w:rsidR="00526D9D" w:rsidRPr="00FC5BD1" w:rsidRDefault="00526D9D" w:rsidP="003C06D5">
      <w:pPr>
        <w:spacing w:after="240" w:line="360" w:lineRule="auto"/>
        <w:jc w:val="both"/>
        <w:rPr>
          <w:rFonts w:cstheme="minorHAnsi"/>
        </w:rPr>
      </w:pPr>
      <w:r w:rsidRPr="00FC5BD1">
        <w:rPr>
          <w:rFonts w:cstheme="minorHAnsi"/>
        </w:rPr>
        <w:t>Source: Own elaboration with SPSS 23.0 and the Hayes Process macro (</w:t>
      </w:r>
      <w:r w:rsidRPr="00FC5BD1">
        <w:rPr>
          <w:rFonts w:cstheme="minorHAnsi"/>
          <w:color w:val="C00000"/>
        </w:rPr>
        <w:t>2018</w:t>
      </w:r>
      <w:r w:rsidRPr="00FC5BD1">
        <w:rPr>
          <w:rFonts w:cstheme="minorHAnsi"/>
        </w:rPr>
        <w:t>)</w:t>
      </w:r>
    </w:p>
    <w:p w14:paraId="1E708E9D" w14:textId="62BC56BD" w:rsidR="00D26B3C" w:rsidRPr="00FC5BD1" w:rsidRDefault="00140481" w:rsidP="003C06D5">
      <w:pPr>
        <w:spacing w:after="240" w:line="360" w:lineRule="auto"/>
        <w:jc w:val="both"/>
        <w:rPr>
          <w:rFonts w:cstheme="minorHAnsi"/>
        </w:rPr>
      </w:pPr>
      <w:r w:rsidRPr="00FC5BD1">
        <w:rPr>
          <w:rFonts w:cstheme="minorHAnsi"/>
        </w:rPr>
        <w:t xml:space="preserve">It is confirmed that there is no significant mediating effect </w:t>
      </w:r>
      <w:r w:rsidR="0095463D" w:rsidRPr="00FC5BD1">
        <w:rPr>
          <w:rFonts w:cstheme="minorHAnsi"/>
        </w:rPr>
        <w:t>of</w:t>
      </w:r>
      <w:r w:rsidR="00D26B3C" w:rsidRPr="00FC5BD1">
        <w:rPr>
          <w:rFonts w:cstheme="minorHAnsi"/>
        </w:rPr>
        <w:t xml:space="preserve"> sustainable purchase intention </w:t>
      </w:r>
      <w:r w:rsidR="0095463D" w:rsidRPr="00FC5BD1">
        <w:rPr>
          <w:rFonts w:cstheme="minorHAnsi"/>
        </w:rPr>
        <w:t>in</w:t>
      </w:r>
      <w:r w:rsidR="00D26B3C" w:rsidRPr="00FC5BD1">
        <w:rPr>
          <w:rFonts w:cstheme="minorHAnsi"/>
        </w:rPr>
        <w:t xml:space="preserve"> 2021</w:t>
      </w:r>
      <w:r w:rsidRPr="00FC5BD1">
        <w:rPr>
          <w:rFonts w:cstheme="minorHAnsi"/>
        </w:rPr>
        <w:t xml:space="preserve"> between </w:t>
      </w:r>
      <w:r w:rsidR="00D26B3C" w:rsidRPr="00FC5BD1">
        <w:rPr>
          <w:rFonts w:cstheme="minorHAnsi"/>
        </w:rPr>
        <w:t xml:space="preserve">subjective norms and perceived behavioral control towards sustainable </w:t>
      </w:r>
      <w:r w:rsidR="009E4B29" w:rsidRPr="00FC5BD1">
        <w:rPr>
          <w:rFonts w:cstheme="minorHAnsi"/>
        </w:rPr>
        <w:t xml:space="preserve">food </w:t>
      </w:r>
      <w:r w:rsidR="00D26B3C" w:rsidRPr="00FC5BD1">
        <w:rPr>
          <w:rFonts w:cstheme="minorHAnsi"/>
        </w:rPr>
        <w:t>consumption, therefore hypothesis 4 is accepted.</w:t>
      </w:r>
    </w:p>
    <w:p w14:paraId="4AD36A49" w14:textId="0D0FA1C3" w:rsidR="00372EB7" w:rsidRPr="00FC5BD1" w:rsidRDefault="00D26B3C" w:rsidP="003C06D5">
      <w:pPr>
        <w:spacing w:after="240" w:line="360" w:lineRule="auto"/>
        <w:jc w:val="both"/>
        <w:rPr>
          <w:rFonts w:cstheme="minorHAnsi"/>
        </w:rPr>
      </w:pPr>
      <w:r w:rsidRPr="00FC5BD1">
        <w:rPr>
          <w:rFonts w:cstheme="minorHAnsi"/>
        </w:rPr>
        <w:lastRenderedPageBreak/>
        <w:t xml:space="preserve">However, by 2023, a significant mediating effect of </w:t>
      </w:r>
      <w:r w:rsidR="00140481" w:rsidRPr="00FC5BD1">
        <w:rPr>
          <w:rFonts w:cstheme="minorHAnsi"/>
        </w:rPr>
        <w:t xml:space="preserve">sustainable </w:t>
      </w:r>
      <w:r w:rsidRPr="00FC5BD1">
        <w:rPr>
          <w:rFonts w:cstheme="minorHAnsi"/>
        </w:rPr>
        <w:t xml:space="preserve">purchase intention was found </w:t>
      </w:r>
      <w:r w:rsidR="00140481" w:rsidRPr="00FC5BD1">
        <w:rPr>
          <w:rFonts w:cstheme="minorHAnsi"/>
        </w:rPr>
        <w:t>between</w:t>
      </w:r>
      <w:r w:rsidRPr="00FC5BD1">
        <w:rPr>
          <w:rFonts w:cstheme="minorHAnsi"/>
        </w:rPr>
        <w:t xml:space="preserve"> subjective norms, perceived behavioral control and RRR</w:t>
      </w:r>
      <w:r w:rsidR="0095463D" w:rsidRPr="00FC5BD1">
        <w:rPr>
          <w:rFonts w:cstheme="minorHAnsi"/>
        </w:rPr>
        <w:t>’s</w:t>
      </w:r>
      <w:r w:rsidRPr="00FC5BD1">
        <w:rPr>
          <w:rFonts w:cstheme="minorHAnsi"/>
        </w:rPr>
        <w:t xml:space="preserve"> attitude towards </w:t>
      </w:r>
      <w:r w:rsidR="009E4B29" w:rsidRPr="00FC5BD1">
        <w:rPr>
          <w:rFonts w:cstheme="minorHAnsi"/>
        </w:rPr>
        <w:t xml:space="preserve">sustainable </w:t>
      </w:r>
      <w:r w:rsidR="00140481" w:rsidRPr="00FC5BD1">
        <w:rPr>
          <w:rFonts w:cstheme="minorHAnsi"/>
        </w:rPr>
        <w:t xml:space="preserve">food </w:t>
      </w:r>
      <w:r w:rsidRPr="00FC5BD1">
        <w:rPr>
          <w:rFonts w:cstheme="minorHAnsi"/>
        </w:rPr>
        <w:t>consumption, therefore hypothesis 5 is accepted.</w:t>
      </w:r>
    </w:p>
    <w:p w14:paraId="5225B308" w14:textId="607C210B" w:rsidR="00D715CF" w:rsidRPr="00FC5BD1" w:rsidRDefault="00D715CF" w:rsidP="003C06D5">
      <w:pPr>
        <w:spacing w:after="240" w:line="360" w:lineRule="auto"/>
        <w:jc w:val="both"/>
        <w:rPr>
          <w:rFonts w:cstheme="minorHAnsi"/>
          <w:b/>
          <w:bCs/>
        </w:rPr>
      </w:pPr>
      <w:r w:rsidRPr="00FC5BD1">
        <w:rPr>
          <w:rFonts w:cstheme="minorHAnsi"/>
          <w:b/>
          <w:bCs/>
        </w:rPr>
        <w:t>Structural changes in the equations</w:t>
      </w:r>
    </w:p>
    <w:p w14:paraId="6AF85D0F" w14:textId="66EC5F9A" w:rsidR="00D715CF" w:rsidRPr="00FC5BD1" w:rsidRDefault="00D715CF" w:rsidP="003C06D5">
      <w:pPr>
        <w:spacing w:after="240" w:line="360" w:lineRule="auto"/>
        <w:jc w:val="both"/>
        <w:rPr>
          <w:rFonts w:cstheme="minorHAnsi"/>
        </w:rPr>
      </w:pPr>
      <w:r w:rsidRPr="00FC5BD1">
        <w:rPr>
          <w:rFonts w:cstheme="minorHAnsi"/>
        </w:rPr>
        <w:t xml:space="preserve">With the calculations of the general regression and the sub-regressions by year, the Chow </w:t>
      </w:r>
      <w:r w:rsidR="0095463D" w:rsidRPr="00FC5BD1">
        <w:rPr>
          <w:rFonts w:cstheme="minorHAnsi"/>
        </w:rPr>
        <w:t>t</w:t>
      </w:r>
      <w:r w:rsidRPr="00FC5BD1">
        <w:rPr>
          <w:rFonts w:cstheme="minorHAnsi"/>
        </w:rPr>
        <w:t xml:space="preserve">est was used to determine the existence of significant differences between the coefficients, based on the following formula (Stock, </w:t>
      </w:r>
      <w:r w:rsidRPr="00FC5BD1">
        <w:rPr>
          <w:rFonts w:cstheme="minorHAnsi"/>
          <w:color w:val="C00000"/>
        </w:rPr>
        <w:t>2003</w:t>
      </w:r>
      <w:r w:rsidRPr="00FC5BD1">
        <w:rPr>
          <w:rFonts w:cstheme="minorHAnsi"/>
        </w:rPr>
        <w:t>):</w:t>
      </w:r>
    </w:p>
    <w:p w14:paraId="4330235B" w14:textId="77777777" w:rsidR="00D715CF" w:rsidRPr="00FC5BD1" w:rsidRDefault="00D715CF" w:rsidP="003C06D5">
      <w:pPr>
        <w:widowControl w:val="0"/>
        <w:autoSpaceDE w:val="0"/>
        <w:autoSpaceDN w:val="0"/>
        <w:adjustRightInd w:val="0"/>
        <w:spacing w:after="240" w:line="360" w:lineRule="auto"/>
        <w:jc w:val="both"/>
        <w:rPr>
          <w:rFonts w:cstheme="minorHAnsi"/>
        </w:rPr>
      </w:pPr>
      <m:oMathPara>
        <m:oMath>
          <m:r>
            <w:rPr>
              <w:rFonts w:ascii="Cambria Math" w:hAnsi="Cambria Math" w:cstheme="minorHAnsi"/>
            </w:rPr>
            <m:t>F=</m:t>
          </m:r>
          <m:f>
            <m:fPr>
              <m:ctrlPr>
                <w:rPr>
                  <w:rFonts w:ascii="Cambria Math" w:hAnsi="Cambria Math" w:cstheme="minorHAnsi"/>
                  <w:i/>
                </w:rPr>
              </m:ctrlPr>
            </m:fPr>
            <m:num>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RSS</m:t>
                  </m:r>
                </m:e>
                <m:sub>
                  <m:r>
                    <w:rPr>
                      <w:rFonts w:ascii="Cambria Math" w:hAnsi="Cambria Math" w:cstheme="minorHAnsi"/>
                    </w:rPr>
                    <m:t>R</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RSS</m:t>
                  </m:r>
                </m:e>
                <m:sub>
                  <m:r>
                    <w:rPr>
                      <w:rFonts w:ascii="Cambria Math" w:hAnsi="Cambria Math" w:cstheme="minorHAnsi"/>
                    </w:rPr>
                    <m:t>UR</m:t>
                  </m:r>
                </m:sub>
              </m:sSub>
              <m:r>
                <w:rPr>
                  <w:rFonts w:ascii="Cambria Math" w:hAnsi="Cambria Math" w:cstheme="minorHAnsi"/>
                </w:rPr>
                <m:t>)/K</m:t>
              </m:r>
            </m:num>
            <m:den>
              <m:sSub>
                <m:sSubPr>
                  <m:ctrlPr>
                    <w:rPr>
                      <w:rFonts w:ascii="Cambria Math" w:hAnsi="Cambria Math" w:cstheme="minorHAnsi"/>
                      <w:i/>
                    </w:rPr>
                  </m:ctrlPr>
                </m:sSubPr>
                <m:e>
                  <m:r>
                    <w:rPr>
                      <w:rFonts w:ascii="Cambria Math" w:hAnsi="Cambria Math" w:cstheme="minorHAnsi"/>
                    </w:rPr>
                    <m:t>RSS</m:t>
                  </m:r>
                </m:e>
                <m:sub>
                  <m:r>
                    <w:rPr>
                      <w:rFonts w:ascii="Cambria Math" w:hAnsi="Cambria Math" w:cstheme="minorHAnsi"/>
                    </w:rPr>
                    <m:t>UR</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2</m:t>
                  </m:r>
                </m:sub>
              </m:sSub>
              <m:r>
                <w:rPr>
                  <w:rFonts w:ascii="Cambria Math" w:hAnsi="Cambria Math" w:cstheme="minorHAnsi"/>
                </w:rPr>
                <m:t>-2K)</m:t>
              </m:r>
            </m:den>
          </m:f>
          <m:r>
            <w:rPr>
              <w:rFonts w:ascii="Cambria Math" w:hAnsi="Cambria Math" w:cstheme="minorHAnsi"/>
            </w:rPr>
            <m:t>∼F</m:t>
          </m:r>
          <m:d>
            <m:dPr>
              <m:begChr m:val="⌊"/>
              <m:endChr m:val="⌋"/>
              <m:ctrlPr>
                <w:rPr>
                  <w:rFonts w:ascii="Cambria Math" w:hAnsi="Cambria Math" w:cstheme="minorHAnsi"/>
                  <w:i/>
                </w:rPr>
              </m:ctrlPr>
            </m:dPr>
            <m:e>
              <m:r>
                <w:rPr>
                  <w:rFonts w:ascii="Cambria Math" w:hAnsi="Cambria Math" w:cstheme="minorHAnsi"/>
                </w:rPr>
                <m:t xml:space="preserve">K, ( </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2</m:t>
                  </m:r>
                </m:sub>
              </m:sSub>
              <m:r>
                <w:rPr>
                  <w:rFonts w:ascii="Cambria Math" w:hAnsi="Cambria Math" w:cstheme="minorHAnsi"/>
                </w:rPr>
                <m:t>-2K)</m:t>
              </m:r>
            </m:e>
          </m:d>
        </m:oMath>
      </m:oMathPara>
    </w:p>
    <w:p w14:paraId="251EC475" w14:textId="77777777" w:rsidR="00D715CF" w:rsidRPr="00FC5BD1" w:rsidRDefault="00D715CF" w:rsidP="003C06D5">
      <w:pPr>
        <w:spacing w:after="240" w:line="360" w:lineRule="auto"/>
        <w:jc w:val="both"/>
        <w:rPr>
          <w:rFonts w:cstheme="minorHAnsi"/>
        </w:rPr>
      </w:pPr>
      <w:r w:rsidRPr="00FC5BD1">
        <w:rPr>
          <w:rFonts w:cstheme="minorHAnsi"/>
        </w:rPr>
        <w:t>Where:</w:t>
      </w:r>
    </w:p>
    <w:p w14:paraId="28638842" w14:textId="77777777" w:rsidR="00D715CF" w:rsidRPr="00FC5BD1" w:rsidRDefault="00D715CF" w:rsidP="003C06D5">
      <w:pPr>
        <w:spacing w:after="240" w:line="360" w:lineRule="auto"/>
        <w:jc w:val="both"/>
        <w:rPr>
          <w:rFonts w:cstheme="minorHAnsi"/>
        </w:rPr>
      </w:pPr>
      <w:r w:rsidRPr="00FC5BD1">
        <w:rPr>
          <w:rFonts w:cstheme="minorHAnsi"/>
        </w:rPr>
        <w:t xml:space="preserve">F= Chow's F </w:t>
      </w:r>
      <w:proofErr w:type="gramStart"/>
      <w:r w:rsidRPr="00FC5BD1">
        <w:rPr>
          <w:rFonts w:cstheme="minorHAnsi"/>
        </w:rPr>
        <w:t>statistic</w:t>
      </w:r>
      <w:proofErr w:type="gramEnd"/>
    </w:p>
    <w:p w14:paraId="0D6F17F5" w14:textId="299F1AC7" w:rsidR="00D715CF" w:rsidRPr="00FC5BD1" w:rsidRDefault="00D715CF" w:rsidP="003C06D5">
      <w:pPr>
        <w:spacing w:after="240" w:line="360" w:lineRule="auto"/>
        <w:jc w:val="both"/>
        <w:rPr>
          <w:rFonts w:cstheme="minorHAnsi"/>
        </w:rPr>
      </w:pPr>
      <w:r w:rsidRPr="00FC5BD1">
        <w:rPr>
          <w:rFonts w:cstheme="minorHAnsi"/>
        </w:rPr>
        <w:t>RSS</w:t>
      </w:r>
      <w:r w:rsidR="00A97CE3" w:rsidRPr="00FC5BD1">
        <w:rPr>
          <w:rFonts w:cstheme="minorHAnsi"/>
          <w:vertAlign w:val="subscript"/>
        </w:rPr>
        <w:t>R</w:t>
      </w:r>
      <w:r w:rsidRPr="00FC5BD1">
        <w:rPr>
          <w:rFonts w:cstheme="minorHAnsi"/>
        </w:rPr>
        <w:t xml:space="preserve">= Restricted </w:t>
      </w:r>
      <w:r w:rsidR="00F64C21" w:rsidRPr="00FC5BD1">
        <w:rPr>
          <w:rFonts w:cstheme="minorHAnsi"/>
        </w:rPr>
        <w:t>Residuals S</w:t>
      </w:r>
      <w:r w:rsidRPr="00FC5BD1">
        <w:rPr>
          <w:rFonts w:cstheme="minorHAnsi"/>
        </w:rPr>
        <w:t xml:space="preserve">um of </w:t>
      </w:r>
      <w:r w:rsidR="00F64C21" w:rsidRPr="00FC5BD1">
        <w:rPr>
          <w:rFonts w:cstheme="minorHAnsi"/>
        </w:rPr>
        <w:t>S</w:t>
      </w:r>
      <w:r w:rsidRPr="00FC5BD1">
        <w:rPr>
          <w:rFonts w:cstheme="minorHAnsi"/>
        </w:rPr>
        <w:t xml:space="preserve">quares </w:t>
      </w:r>
    </w:p>
    <w:p w14:paraId="79F6CC85" w14:textId="69B7C1DA" w:rsidR="00D715CF" w:rsidRPr="00FC5BD1" w:rsidRDefault="00D715CF" w:rsidP="003C06D5">
      <w:pPr>
        <w:spacing w:after="240" w:line="360" w:lineRule="auto"/>
        <w:jc w:val="both"/>
        <w:rPr>
          <w:rFonts w:cstheme="minorHAnsi"/>
        </w:rPr>
      </w:pPr>
      <w:r w:rsidRPr="00FC5BD1">
        <w:rPr>
          <w:rFonts w:cstheme="minorHAnsi"/>
        </w:rPr>
        <w:t>RSS</w:t>
      </w:r>
      <w:r w:rsidR="00A97CE3" w:rsidRPr="00FC5BD1">
        <w:rPr>
          <w:rFonts w:cstheme="minorHAnsi"/>
          <w:vertAlign w:val="subscript"/>
        </w:rPr>
        <w:t>UR</w:t>
      </w:r>
      <w:r w:rsidRPr="00FC5BD1">
        <w:rPr>
          <w:rFonts w:cstheme="minorHAnsi"/>
        </w:rPr>
        <w:t xml:space="preserve">= </w:t>
      </w:r>
      <w:r w:rsidR="00A97CE3" w:rsidRPr="00FC5BD1">
        <w:rPr>
          <w:rFonts w:cstheme="minorHAnsi"/>
        </w:rPr>
        <w:t>U</w:t>
      </w:r>
      <w:r w:rsidRPr="00FC5BD1">
        <w:rPr>
          <w:rFonts w:cstheme="minorHAnsi"/>
        </w:rPr>
        <w:t xml:space="preserve">nrestricted </w:t>
      </w:r>
      <w:r w:rsidR="00F64C21" w:rsidRPr="00FC5BD1">
        <w:rPr>
          <w:rFonts w:cstheme="minorHAnsi"/>
        </w:rPr>
        <w:t>Residuals S</w:t>
      </w:r>
      <w:r w:rsidRPr="00FC5BD1">
        <w:rPr>
          <w:rFonts w:cstheme="minorHAnsi"/>
        </w:rPr>
        <w:t xml:space="preserve">um of </w:t>
      </w:r>
      <w:r w:rsidR="00F64C21" w:rsidRPr="00FC5BD1">
        <w:rPr>
          <w:rFonts w:cstheme="minorHAnsi"/>
        </w:rPr>
        <w:t>S</w:t>
      </w:r>
      <w:r w:rsidRPr="00FC5BD1">
        <w:rPr>
          <w:rFonts w:cstheme="minorHAnsi"/>
        </w:rPr>
        <w:t xml:space="preserve">quares </w:t>
      </w:r>
    </w:p>
    <w:p w14:paraId="0C110534" w14:textId="7F281E3C" w:rsidR="00D715CF" w:rsidRPr="00FC5BD1" w:rsidRDefault="00D715CF" w:rsidP="003C06D5">
      <w:pPr>
        <w:spacing w:after="240" w:line="360" w:lineRule="auto"/>
        <w:jc w:val="both"/>
        <w:rPr>
          <w:rFonts w:cstheme="minorHAnsi"/>
        </w:rPr>
      </w:pPr>
      <w:r w:rsidRPr="00FC5BD1">
        <w:rPr>
          <w:rFonts w:cstheme="minorHAnsi"/>
        </w:rPr>
        <w:t xml:space="preserve">K= </w:t>
      </w:r>
      <w:r w:rsidR="00A97CE3" w:rsidRPr="00FC5BD1">
        <w:rPr>
          <w:rFonts w:cstheme="minorHAnsi"/>
        </w:rPr>
        <w:t>N</w:t>
      </w:r>
      <w:r w:rsidRPr="00FC5BD1">
        <w:rPr>
          <w:rFonts w:cstheme="minorHAnsi"/>
        </w:rPr>
        <w:t>umber of variables in the model</w:t>
      </w:r>
    </w:p>
    <w:p w14:paraId="04014B2D" w14:textId="027E33CE" w:rsidR="00D715CF" w:rsidRPr="00FC5BD1" w:rsidRDefault="00D715CF" w:rsidP="003C06D5">
      <w:pPr>
        <w:spacing w:after="240" w:line="360" w:lineRule="auto"/>
        <w:jc w:val="both"/>
        <w:rPr>
          <w:rFonts w:cstheme="minorHAnsi"/>
        </w:rPr>
      </w:pPr>
      <w:r w:rsidRPr="00FC5BD1">
        <w:rPr>
          <w:rFonts w:cstheme="minorHAnsi"/>
        </w:rPr>
        <w:t>n</w:t>
      </w:r>
      <w:r w:rsidR="00A97CE3" w:rsidRPr="00FC5BD1">
        <w:rPr>
          <w:rFonts w:cstheme="minorHAnsi"/>
          <w:vertAlign w:val="subscript"/>
        </w:rPr>
        <w:t>1</w:t>
      </w:r>
      <w:r w:rsidRPr="00FC5BD1">
        <w:rPr>
          <w:rFonts w:cstheme="minorHAnsi"/>
        </w:rPr>
        <w:t xml:space="preserve">= Number of observations </w:t>
      </w:r>
      <w:r w:rsidR="00A97CE3" w:rsidRPr="00FC5BD1">
        <w:rPr>
          <w:rFonts w:cstheme="minorHAnsi"/>
        </w:rPr>
        <w:t>in</w:t>
      </w:r>
      <w:r w:rsidRPr="00FC5BD1">
        <w:rPr>
          <w:rFonts w:cstheme="minorHAnsi"/>
        </w:rPr>
        <w:t xml:space="preserve"> the first group</w:t>
      </w:r>
    </w:p>
    <w:p w14:paraId="40ADA210" w14:textId="56615134" w:rsidR="00D715CF" w:rsidRPr="00FC5BD1" w:rsidRDefault="00D715CF" w:rsidP="003C06D5">
      <w:pPr>
        <w:spacing w:after="240" w:line="360" w:lineRule="auto"/>
        <w:jc w:val="both"/>
        <w:rPr>
          <w:rFonts w:cstheme="minorHAnsi"/>
        </w:rPr>
      </w:pPr>
      <w:r w:rsidRPr="00FC5BD1">
        <w:rPr>
          <w:rFonts w:cstheme="minorHAnsi"/>
        </w:rPr>
        <w:t>n</w:t>
      </w:r>
      <w:r w:rsidR="00A97CE3" w:rsidRPr="00FC5BD1">
        <w:rPr>
          <w:rFonts w:cstheme="minorHAnsi"/>
          <w:vertAlign w:val="subscript"/>
        </w:rPr>
        <w:t>2</w:t>
      </w:r>
      <w:r w:rsidRPr="00FC5BD1">
        <w:rPr>
          <w:rFonts w:cstheme="minorHAnsi"/>
        </w:rPr>
        <w:t xml:space="preserve">= Number of observations </w:t>
      </w:r>
      <w:r w:rsidR="00A97CE3" w:rsidRPr="00FC5BD1">
        <w:rPr>
          <w:rFonts w:cstheme="minorHAnsi"/>
        </w:rPr>
        <w:t>in</w:t>
      </w:r>
      <w:r w:rsidRPr="00FC5BD1">
        <w:rPr>
          <w:rFonts w:cstheme="minorHAnsi"/>
        </w:rPr>
        <w:t xml:space="preserve"> the second group</w:t>
      </w:r>
    </w:p>
    <w:p w14:paraId="5E216BC4" w14:textId="5115CCE2" w:rsidR="00D715CF" w:rsidRPr="00FC5BD1" w:rsidRDefault="00D715CF" w:rsidP="003C06D5">
      <w:pPr>
        <w:spacing w:after="240" w:line="360" w:lineRule="auto"/>
        <w:jc w:val="both"/>
        <w:rPr>
          <w:rFonts w:cstheme="minorHAnsi"/>
        </w:rPr>
      </w:pPr>
      <w:r w:rsidRPr="00FC5BD1">
        <w:rPr>
          <w:rFonts w:cstheme="minorHAnsi"/>
        </w:rPr>
        <w:t xml:space="preserve">The calculations for the Chow Test are shown in </w:t>
      </w:r>
      <w:r w:rsidR="00A97CE3" w:rsidRPr="00FC5BD1">
        <w:rPr>
          <w:rFonts w:cstheme="minorHAnsi"/>
        </w:rPr>
        <w:t>t</w:t>
      </w:r>
      <w:r w:rsidRPr="00FC5BD1">
        <w:rPr>
          <w:rFonts w:cstheme="minorHAnsi"/>
        </w:rPr>
        <w:t xml:space="preserve">able </w:t>
      </w:r>
      <w:r w:rsidR="00AB5E9A" w:rsidRPr="00FC5BD1">
        <w:rPr>
          <w:rFonts w:cstheme="minorHAnsi"/>
        </w:rPr>
        <w:t>7</w:t>
      </w:r>
      <w:r w:rsidRPr="00FC5BD1">
        <w:rPr>
          <w:rFonts w:cstheme="minorHAnsi"/>
        </w:rPr>
        <w:t>.</w:t>
      </w:r>
    </w:p>
    <w:p w14:paraId="64A39424" w14:textId="77777777" w:rsidR="005F4E60" w:rsidRPr="00FC5BD1" w:rsidRDefault="005F4E60" w:rsidP="001D7591">
      <w:pPr>
        <w:spacing w:line="360" w:lineRule="auto"/>
        <w:jc w:val="both"/>
        <w:rPr>
          <w:rFonts w:cstheme="minorHAnsi"/>
          <w:b/>
          <w:bCs/>
        </w:rPr>
      </w:pPr>
    </w:p>
    <w:p w14:paraId="5D5584E9" w14:textId="77777777" w:rsidR="005F4E60" w:rsidRPr="00FC5BD1" w:rsidRDefault="005F4E60" w:rsidP="001D7591">
      <w:pPr>
        <w:spacing w:line="360" w:lineRule="auto"/>
        <w:jc w:val="both"/>
        <w:rPr>
          <w:rFonts w:cstheme="minorHAnsi"/>
          <w:b/>
          <w:bCs/>
        </w:rPr>
      </w:pPr>
    </w:p>
    <w:p w14:paraId="78F0C14D" w14:textId="77777777" w:rsidR="005F4E60" w:rsidRPr="00FC5BD1" w:rsidRDefault="005F4E60" w:rsidP="001D7591">
      <w:pPr>
        <w:spacing w:line="360" w:lineRule="auto"/>
        <w:jc w:val="both"/>
        <w:rPr>
          <w:rFonts w:cstheme="minorHAnsi"/>
          <w:b/>
          <w:bCs/>
        </w:rPr>
      </w:pPr>
    </w:p>
    <w:p w14:paraId="4AC7720B" w14:textId="77777777" w:rsidR="005F4E60" w:rsidRPr="00FC5BD1" w:rsidRDefault="005F4E60" w:rsidP="001D7591">
      <w:pPr>
        <w:spacing w:line="360" w:lineRule="auto"/>
        <w:jc w:val="both"/>
        <w:rPr>
          <w:rFonts w:cstheme="minorHAnsi"/>
          <w:b/>
          <w:bCs/>
        </w:rPr>
      </w:pPr>
    </w:p>
    <w:p w14:paraId="62BF4DA0" w14:textId="4734AC6B" w:rsidR="00D715CF" w:rsidRPr="00FC5BD1" w:rsidRDefault="00D715CF" w:rsidP="001D7591">
      <w:pPr>
        <w:spacing w:line="360" w:lineRule="auto"/>
        <w:jc w:val="both"/>
        <w:rPr>
          <w:rFonts w:cstheme="minorHAnsi"/>
          <w:b/>
          <w:bCs/>
        </w:rPr>
      </w:pPr>
      <w:r w:rsidRPr="00FC5BD1">
        <w:rPr>
          <w:rFonts w:cstheme="minorHAnsi"/>
          <w:b/>
          <w:bCs/>
        </w:rPr>
        <w:lastRenderedPageBreak/>
        <w:t xml:space="preserve">Table </w:t>
      </w:r>
      <w:r w:rsidR="00AB5E9A" w:rsidRPr="00FC5BD1">
        <w:rPr>
          <w:rFonts w:cstheme="minorHAnsi"/>
          <w:b/>
          <w:bCs/>
        </w:rPr>
        <w:t>7</w:t>
      </w:r>
      <w:r w:rsidRPr="00FC5BD1">
        <w:rPr>
          <w:rFonts w:cstheme="minorHAnsi"/>
          <w:b/>
          <w:bCs/>
        </w:rPr>
        <w:t>.</w:t>
      </w:r>
    </w:p>
    <w:p w14:paraId="20940F94" w14:textId="4A2DC780" w:rsidR="00D715CF" w:rsidRPr="00FC5BD1" w:rsidRDefault="00D715CF" w:rsidP="001D7591">
      <w:pPr>
        <w:spacing w:line="360" w:lineRule="auto"/>
        <w:jc w:val="both"/>
        <w:rPr>
          <w:rFonts w:cstheme="minorHAnsi"/>
        </w:rPr>
      </w:pPr>
      <w:r w:rsidRPr="00FC5BD1">
        <w:rPr>
          <w:rFonts w:cstheme="minorHAnsi"/>
        </w:rPr>
        <w:t>Calculations for Chow Test</w:t>
      </w:r>
    </w:p>
    <w:p w14:paraId="256782A9" w14:textId="4F5E0E33" w:rsidR="00F64C21" w:rsidRPr="00FC5BD1" w:rsidRDefault="00123CBB" w:rsidP="003C06D5">
      <w:pPr>
        <w:spacing w:after="240" w:line="360" w:lineRule="auto"/>
        <w:rPr>
          <w:rFonts w:cstheme="minorHAnsi"/>
        </w:rPr>
      </w:pPr>
      <w:r w:rsidRPr="00FC5BD1">
        <w:rPr>
          <w:rFonts w:cstheme="minorHAnsi"/>
          <w:noProof/>
        </w:rPr>
        <w:drawing>
          <wp:inline distT="0" distB="0" distL="0" distR="0" wp14:anchorId="444116C5" wp14:editId="10134C2D">
            <wp:extent cx="5612130" cy="1316355"/>
            <wp:effectExtent l="0" t="0" r="1270" b="4445"/>
            <wp:docPr id="20753007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300734" name=""/>
                    <pic:cNvPicPr/>
                  </pic:nvPicPr>
                  <pic:blipFill>
                    <a:blip r:embed="rId16"/>
                    <a:stretch>
                      <a:fillRect/>
                    </a:stretch>
                  </pic:blipFill>
                  <pic:spPr>
                    <a:xfrm>
                      <a:off x="0" y="0"/>
                      <a:ext cx="5612130" cy="1316355"/>
                    </a:xfrm>
                    <a:prstGeom prst="rect">
                      <a:avLst/>
                    </a:prstGeom>
                  </pic:spPr>
                </pic:pic>
              </a:graphicData>
            </a:graphic>
          </wp:inline>
        </w:drawing>
      </w:r>
      <w:r w:rsidRPr="00FC5BD1">
        <w:rPr>
          <w:rFonts w:cstheme="minorHAnsi"/>
        </w:rPr>
        <w:t xml:space="preserve"> </w:t>
      </w:r>
      <w:r w:rsidR="00F64C21" w:rsidRPr="00FC5BD1">
        <w:rPr>
          <w:rFonts w:cstheme="minorHAnsi"/>
        </w:rPr>
        <w:t>Source: Own elaboration with SPSS 23.0</w:t>
      </w:r>
    </w:p>
    <w:p w14:paraId="4A2E4402" w14:textId="5C8F77D2" w:rsidR="00D715CF" w:rsidRPr="00FC5BD1" w:rsidRDefault="00D715CF" w:rsidP="003C06D5">
      <w:pPr>
        <w:spacing w:after="240" w:line="360" w:lineRule="auto"/>
        <w:jc w:val="both"/>
        <w:rPr>
          <w:rFonts w:cstheme="minorHAnsi"/>
        </w:rPr>
      </w:pPr>
      <w:r w:rsidRPr="00FC5BD1">
        <w:rPr>
          <w:rFonts w:cstheme="minorHAnsi"/>
        </w:rPr>
        <w:t>For the equations</w:t>
      </w:r>
      <w:r w:rsidR="00262E4C" w:rsidRPr="00FC5BD1">
        <w:rPr>
          <w:rFonts w:cstheme="minorHAnsi"/>
        </w:rPr>
        <w:t xml:space="preserve"> of 2021 and 2023</w:t>
      </w:r>
      <w:r w:rsidRPr="00FC5BD1">
        <w:rPr>
          <w:rFonts w:cstheme="minorHAnsi"/>
        </w:rPr>
        <w:t>, a</w:t>
      </w:r>
      <w:r w:rsidR="00262E4C" w:rsidRPr="00FC5BD1">
        <w:rPr>
          <w:rFonts w:cstheme="minorHAnsi"/>
        </w:rPr>
        <w:t>n F</w:t>
      </w:r>
      <w:r w:rsidRPr="00FC5BD1">
        <w:rPr>
          <w:rFonts w:cstheme="minorHAnsi"/>
        </w:rPr>
        <w:t xml:space="preserve"> value (16.11) </w:t>
      </w:r>
      <w:r w:rsidR="00641890" w:rsidRPr="00FC5BD1">
        <w:rPr>
          <w:rFonts w:cstheme="minorHAnsi"/>
        </w:rPr>
        <w:t>greater</w:t>
      </w:r>
      <w:r w:rsidRPr="00FC5BD1">
        <w:rPr>
          <w:rFonts w:cstheme="minorHAnsi"/>
        </w:rPr>
        <w:t xml:space="preserve"> than the critical value in tables of the F distribution (13.48)</w:t>
      </w:r>
      <w:r w:rsidR="005521F5" w:rsidRPr="00FC5BD1">
        <w:rPr>
          <w:rFonts w:cstheme="minorHAnsi"/>
        </w:rPr>
        <w:t xml:space="preserve"> was obtained</w:t>
      </w:r>
      <w:r w:rsidR="00262E4C" w:rsidRPr="00FC5BD1">
        <w:rPr>
          <w:rFonts w:cstheme="minorHAnsi"/>
        </w:rPr>
        <w:t>,</w:t>
      </w:r>
      <w:r w:rsidRPr="00FC5BD1">
        <w:rPr>
          <w:rFonts w:cstheme="minorHAnsi"/>
        </w:rPr>
        <w:t xml:space="preserve"> with a significance level of 0.01, so it is </w:t>
      </w:r>
      <w:r w:rsidR="00262E4C" w:rsidRPr="00FC5BD1">
        <w:rPr>
          <w:rFonts w:cstheme="minorHAnsi"/>
        </w:rPr>
        <w:t>proved</w:t>
      </w:r>
      <w:r w:rsidRPr="00FC5BD1">
        <w:rPr>
          <w:rFonts w:cstheme="minorHAnsi"/>
        </w:rPr>
        <w:t xml:space="preserve"> that there is a structural change between the variables that determine </w:t>
      </w:r>
      <w:r w:rsidR="005521F5" w:rsidRPr="00FC5BD1">
        <w:rPr>
          <w:rFonts w:cstheme="minorHAnsi"/>
        </w:rPr>
        <w:t xml:space="preserve">food </w:t>
      </w:r>
      <w:r w:rsidRPr="00FC5BD1">
        <w:rPr>
          <w:rFonts w:cstheme="minorHAnsi"/>
        </w:rPr>
        <w:t xml:space="preserve">sustainable consumption of </w:t>
      </w:r>
      <w:r w:rsidR="00262E4C" w:rsidRPr="00FC5BD1">
        <w:rPr>
          <w:rFonts w:cstheme="minorHAnsi"/>
        </w:rPr>
        <w:t>C</w:t>
      </w:r>
      <w:r w:rsidRPr="00FC5BD1">
        <w:rPr>
          <w:rFonts w:cstheme="minorHAnsi"/>
        </w:rPr>
        <w:t>entennials, therefore</w:t>
      </w:r>
      <w:r w:rsidR="00262E4C" w:rsidRPr="00FC5BD1">
        <w:rPr>
          <w:rFonts w:cstheme="minorHAnsi"/>
        </w:rPr>
        <w:t>,</w:t>
      </w:r>
      <w:r w:rsidRPr="00FC5BD1">
        <w:rPr>
          <w:rFonts w:cstheme="minorHAnsi"/>
        </w:rPr>
        <w:t xml:space="preserve"> hypothesis 6 of this research is accepted.</w:t>
      </w:r>
    </w:p>
    <w:p w14:paraId="1D6CC928" w14:textId="1F0AA7CE" w:rsidR="00D715CF" w:rsidRPr="00FC5BD1" w:rsidRDefault="00CB0868" w:rsidP="00CB0868">
      <w:pPr>
        <w:pStyle w:val="Ttulo1"/>
        <w:numPr>
          <w:ilvl w:val="0"/>
          <w:numId w:val="2"/>
        </w:numPr>
        <w:spacing w:before="0" w:after="0"/>
        <w:rPr>
          <w:rFonts w:cstheme="minorHAnsi"/>
          <w:bCs/>
        </w:rPr>
      </w:pPr>
      <w:r w:rsidRPr="00FC5BD1">
        <w:rPr>
          <w:rFonts w:cstheme="minorHAnsi"/>
          <w:bCs/>
        </w:rPr>
        <w:t>Discussion</w:t>
      </w:r>
    </w:p>
    <w:p w14:paraId="7374EBDE" w14:textId="7597D4A6" w:rsidR="00D715CF" w:rsidRPr="00FC5BD1" w:rsidRDefault="00D715CF" w:rsidP="003C06D5">
      <w:pPr>
        <w:spacing w:after="240" w:line="360" w:lineRule="auto"/>
        <w:jc w:val="both"/>
        <w:rPr>
          <w:rFonts w:cstheme="minorHAnsi"/>
        </w:rPr>
      </w:pPr>
      <w:r w:rsidRPr="00FC5BD1">
        <w:rPr>
          <w:rFonts w:cstheme="minorHAnsi"/>
        </w:rPr>
        <w:t xml:space="preserve">During the COVID-19 pandemic, the psychological impact on human health </w:t>
      </w:r>
      <w:r w:rsidR="0098746C" w:rsidRPr="00FC5BD1">
        <w:rPr>
          <w:rFonts w:cstheme="minorHAnsi"/>
        </w:rPr>
        <w:t>promoted</w:t>
      </w:r>
      <w:r w:rsidRPr="00FC5BD1">
        <w:rPr>
          <w:rFonts w:cstheme="minorHAnsi"/>
        </w:rPr>
        <w:t xml:space="preserve"> greater awareness of the importance of sustainable </w:t>
      </w:r>
      <w:r w:rsidR="009E4B29" w:rsidRPr="00FC5BD1">
        <w:rPr>
          <w:rFonts w:cstheme="minorHAnsi"/>
        </w:rPr>
        <w:t xml:space="preserve">food </w:t>
      </w:r>
      <w:r w:rsidRPr="00FC5BD1">
        <w:rPr>
          <w:rFonts w:cstheme="minorHAnsi"/>
        </w:rPr>
        <w:t xml:space="preserve">consumption (Castellini, Savarese &amp; Graffigna, </w:t>
      </w:r>
      <w:r w:rsidRPr="00FC5BD1">
        <w:rPr>
          <w:rFonts w:cstheme="minorHAnsi"/>
          <w:color w:val="C00000"/>
        </w:rPr>
        <w:t>2021</w:t>
      </w:r>
      <w:r w:rsidRPr="00FC5BD1">
        <w:rPr>
          <w:rFonts w:cstheme="minorHAnsi"/>
        </w:rPr>
        <w:t xml:space="preserve">). However, this trend of </w:t>
      </w:r>
      <w:r w:rsidR="00A040FF" w:rsidRPr="00FC5BD1">
        <w:rPr>
          <w:rFonts w:cstheme="minorHAnsi"/>
        </w:rPr>
        <w:t>moderate</w:t>
      </w:r>
      <w:r w:rsidRPr="00FC5BD1">
        <w:rPr>
          <w:rFonts w:cstheme="minorHAnsi"/>
        </w:rPr>
        <w:t xml:space="preserve"> consumption and preference </w:t>
      </w:r>
      <w:r w:rsidR="00564229" w:rsidRPr="00FC5BD1">
        <w:rPr>
          <w:rFonts w:cstheme="minorHAnsi"/>
        </w:rPr>
        <w:t xml:space="preserve">of purchasing </w:t>
      </w:r>
      <w:r w:rsidRPr="00FC5BD1">
        <w:rPr>
          <w:rFonts w:cstheme="minorHAnsi"/>
        </w:rPr>
        <w:t>food produced in a</w:t>
      </w:r>
      <w:r w:rsidR="00564229" w:rsidRPr="00FC5BD1">
        <w:rPr>
          <w:rFonts w:cstheme="minorHAnsi"/>
        </w:rPr>
        <w:t>n ecologically and socially</w:t>
      </w:r>
      <w:r w:rsidRPr="00FC5BD1">
        <w:rPr>
          <w:rFonts w:cstheme="minorHAnsi"/>
        </w:rPr>
        <w:t xml:space="preserve"> friendly way, stagnated after the pandemic in </w:t>
      </w:r>
      <w:r w:rsidR="00564229" w:rsidRPr="00FC5BD1">
        <w:rPr>
          <w:rFonts w:cstheme="minorHAnsi"/>
        </w:rPr>
        <w:t>C</w:t>
      </w:r>
      <w:r w:rsidRPr="00FC5BD1">
        <w:rPr>
          <w:rFonts w:cstheme="minorHAnsi"/>
        </w:rPr>
        <w:t xml:space="preserve">entennials, who have been characterized </w:t>
      </w:r>
      <w:proofErr w:type="gramStart"/>
      <w:r w:rsidR="0098746C" w:rsidRPr="00FC5BD1">
        <w:rPr>
          <w:rFonts w:cstheme="minorHAnsi"/>
        </w:rPr>
        <w:t>of</w:t>
      </w:r>
      <w:proofErr w:type="gramEnd"/>
      <w:r w:rsidRPr="00FC5BD1">
        <w:rPr>
          <w:rFonts w:cstheme="minorHAnsi"/>
        </w:rPr>
        <w:t xml:space="preserve"> having a greater </w:t>
      </w:r>
      <w:r w:rsidR="00564229" w:rsidRPr="00FC5BD1">
        <w:rPr>
          <w:rFonts w:cstheme="minorHAnsi"/>
        </w:rPr>
        <w:t xml:space="preserve">responsibility for </w:t>
      </w:r>
      <w:r w:rsidR="0098746C" w:rsidRPr="00FC5BD1">
        <w:rPr>
          <w:rFonts w:cstheme="minorHAnsi"/>
        </w:rPr>
        <w:t xml:space="preserve">environmental care </w:t>
      </w:r>
      <w:r w:rsidRPr="00FC5BD1">
        <w:rPr>
          <w:rFonts w:cstheme="minorHAnsi"/>
        </w:rPr>
        <w:t xml:space="preserve">(Dabija, et al. </w:t>
      </w:r>
      <w:r w:rsidRPr="00FC5BD1">
        <w:rPr>
          <w:rFonts w:cstheme="minorHAnsi"/>
          <w:color w:val="C00000"/>
        </w:rPr>
        <w:t>2019</w:t>
      </w:r>
      <w:r w:rsidRPr="00FC5BD1">
        <w:rPr>
          <w:rFonts w:cstheme="minorHAnsi"/>
        </w:rPr>
        <w:t>).</w:t>
      </w:r>
    </w:p>
    <w:p w14:paraId="690F131B" w14:textId="0C68EE1A" w:rsidR="000174B3" w:rsidRPr="00FC5BD1" w:rsidRDefault="000174B3" w:rsidP="003C06D5">
      <w:pPr>
        <w:spacing w:after="240" w:line="360" w:lineRule="auto"/>
        <w:jc w:val="both"/>
        <w:rPr>
          <w:rFonts w:cstheme="minorHAnsi"/>
        </w:rPr>
      </w:pPr>
      <w:r w:rsidRPr="00FC5BD1">
        <w:rPr>
          <w:rFonts w:cstheme="minorHAnsi"/>
        </w:rPr>
        <w:t xml:space="preserve">Despite the greater awareness that centennials have about the damage that individual actions </w:t>
      </w:r>
      <w:r w:rsidR="00CB0868" w:rsidRPr="00FC5BD1">
        <w:rPr>
          <w:rFonts w:cstheme="minorHAnsi"/>
        </w:rPr>
        <w:t>due</w:t>
      </w:r>
      <w:r w:rsidRPr="00FC5BD1">
        <w:rPr>
          <w:rFonts w:cstheme="minorHAnsi"/>
        </w:rPr>
        <w:t xml:space="preserve"> to the environment (Cerem Business School, </w:t>
      </w:r>
      <w:r w:rsidRPr="00FC5BD1">
        <w:rPr>
          <w:rFonts w:cstheme="minorHAnsi"/>
          <w:color w:val="C00000"/>
        </w:rPr>
        <w:t>2020</w:t>
      </w:r>
      <w:r w:rsidRPr="00FC5BD1">
        <w:rPr>
          <w:rFonts w:cstheme="minorHAnsi"/>
        </w:rPr>
        <w:t xml:space="preserve">), their attitudes towards RRR were not strong: they obtained a regular average during the pandemic (6.96), </w:t>
      </w:r>
      <w:r w:rsidR="00564229" w:rsidRPr="00FC5BD1">
        <w:rPr>
          <w:rFonts w:cstheme="minorHAnsi"/>
        </w:rPr>
        <w:t>perhaps</w:t>
      </w:r>
      <w:r w:rsidR="0098746C" w:rsidRPr="00FC5BD1">
        <w:rPr>
          <w:rFonts w:cstheme="minorHAnsi"/>
        </w:rPr>
        <w:t xml:space="preserve"> because </w:t>
      </w:r>
      <w:r w:rsidRPr="00FC5BD1">
        <w:rPr>
          <w:rFonts w:cstheme="minorHAnsi"/>
        </w:rPr>
        <w:t>they and those in their immediate environment prioritized the sanitization and hygiene of food products</w:t>
      </w:r>
      <w:r w:rsidR="0098746C" w:rsidRPr="00FC5BD1">
        <w:rPr>
          <w:rFonts w:cstheme="minorHAnsi"/>
        </w:rPr>
        <w:t xml:space="preserve"> </w:t>
      </w:r>
      <w:r w:rsidRPr="00FC5BD1">
        <w:rPr>
          <w:rFonts w:cstheme="minorHAnsi"/>
        </w:rPr>
        <w:t xml:space="preserve">to prevent possible contagion. </w:t>
      </w:r>
      <w:r w:rsidR="00564229" w:rsidRPr="00FC5BD1">
        <w:rPr>
          <w:rFonts w:cstheme="minorHAnsi"/>
        </w:rPr>
        <w:t>As a result</w:t>
      </w:r>
      <w:r w:rsidRPr="00FC5BD1">
        <w:rPr>
          <w:rFonts w:cstheme="minorHAnsi"/>
        </w:rPr>
        <w:t xml:space="preserve">, </w:t>
      </w:r>
      <w:r w:rsidR="00564229" w:rsidRPr="00FC5BD1">
        <w:rPr>
          <w:rFonts w:cstheme="minorHAnsi"/>
        </w:rPr>
        <w:t xml:space="preserve">there were </w:t>
      </w:r>
      <w:r w:rsidRPr="00FC5BD1">
        <w:rPr>
          <w:rFonts w:cstheme="minorHAnsi"/>
        </w:rPr>
        <w:t xml:space="preserve">greater </w:t>
      </w:r>
      <w:r w:rsidRPr="00FC5BD1">
        <w:rPr>
          <w:rFonts w:cstheme="minorHAnsi"/>
        </w:rPr>
        <w:lastRenderedPageBreak/>
        <w:t xml:space="preserve">difficulties </w:t>
      </w:r>
      <w:proofErr w:type="gramStart"/>
      <w:r w:rsidRPr="00FC5BD1">
        <w:rPr>
          <w:rFonts w:cstheme="minorHAnsi"/>
        </w:rPr>
        <w:t>to reduce</w:t>
      </w:r>
      <w:proofErr w:type="gramEnd"/>
      <w:r w:rsidRPr="00FC5BD1">
        <w:rPr>
          <w:rFonts w:cstheme="minorHAnsi"/>
        </w:rPr>
        <w:t xml:space="preserve">, </w:t>
      </w:r>
      <w:r w:rsidR="008D2DFC" w:rsidRPr="00FC5BD1">
        <w:rPr>
          <w:rFonts w:cstheme="minorHAnsi"/>
        </w:rPr>
        <w:t>reuse,</w:t>
      </w:r>
      <w:r w:rsidRPr="00FC5BD1">
        <w:rPr>
          <w:rFonts w:cstheme="minorHAnsi"/>
        </w:rPr>
        <w:t xml:space="preserve"> and recycle food and its packaging. After the pandemic, </w:t>
      </w:r>
      <w:r w:rsidR="004B1D4C" w:rsidRPr="00FC5BD1">
        <w:rPr>
          <w:rFonts w:cstheme="minorHAnsi"/>
        </w:rPr>
        <w:t>G</w:t>
      </w:r>
      <w:r w:rsidRPr="00FC5BD1">
        <w:rPr>
          <w:rFonts w:cstheme="minorHAnsi"/>
        </w:rPr>
        <w:t xml:space="preserve">eneration Z resumed their principles and beliefs about the importance of incorporating the RRR in daily life, obtaining the highest score </w:t>
      </w:r>
      <w:r w:rsidR="008D2DFC" w:rsidRPr="00FC5BD1">
        <w:rPr>
          <w:rFonts w:cstheme="minorHAnsi"/>
        </w:rPr>
        <w:t>of</w:t>
      </w:r>
      <w:r w:rsidRPr="00FC5BD1">
        <w:rPr>
          <w:rFonts w:cstheme="minorHAnsi"/>
        </w:rPr>
        <w:t xml:space="preserve"> the variables in this study (8.39). This variable was also incorporated into the 2023 regression equation, it has a small negative predictive power in the explained variance of sustainable </w:t>
      </w:r>
      <w:r w:rsidR="009E4B29" w:rsidRPr="00FC5BD1">
        <w:rPr>
          <w:rFonts w:cstheme="minorHAnsi"/>
        </w:rPr>
        <w:t xml:space="preserve">food </w:t>
      </w:r>
      <w:r w:rsidRPr="00FC5BD1">
        <w:rPr>
          <w:rFonts w:cstheme="minorHAnsi"/>
        </w:rPr>
        <w:t xml:space="preserve">consumption (-11.5%). This is due, perhaps, to the fact that the sustainable consumption variable considers not only the change in habits to be more </w:t>
      </w:r>
      <w:r w:rsidR="00A040FF" w:rsidRPr="00FC5BD1">
        <w:rPr>
          <w:rFonts w:cstheme="minorHAnsi"/>
        </w:rPr>
        <w:t>moderate</w:t>
      </w:r>
      <w:r w:rsidRPr="00FC5BD1">
        <w:rPr>
          <w:rFonts w:cstheme="minorHAnsi"/>
        </w:rPr>
        <w:t xml:space="preserve"> in consumption, </w:t>
      </w:r>
      <w:r w:rsidR="004B1D4C" w:rsidRPr="00FC5BD1">
        <w:rPr>
          <w:rFonts w:cstheme="minorHAnsi"/>
        </w:rPr>
        <w:t>in line with</w:t>
      </w:r>
      <w:r w:rsidRPr="00FC5BD1">
        <w:rPr>
          <w:rFonts w:cstheme="minorHAnsi"/>
        </w:rPr>
        <w:t xml:space="preserve"> attitudes towards RRR</w:t>
      </w:r>
      <w:r w:rsidR="004B1D4C" w:rsidRPr="00FC5BD1">
        <w:rPr>
          <w:rFonts w:cstheme="minorHAnsi"/>
        </w:rPr>
        <w:t>,</w:t>
      </w:r>
      <w:r w:rsidR="003F31C9" w:rsidRPr="00FC5BD1">
        <w:rPr>
          <w:rFonts w:cstheme="minorHAnsi"/>
        </w:rPr>
        <w:t xml:space="preserve"> it</w:t>
      </w:r>
      <w:r w:rsidRPr="00FC5BD1">
        <w:rPr>
          <w:rFonts w:cstheme="minorHAnsi"/>
        </w:rPr>
        <w:t xml:space="preserve"> also consider</w:t>
      </w:r>
      <w:r w:rsidR="003F31C9" w:rsidRPr="00FC5BD1">
        <w:rPr>
          <w:rFonts w:cstheme="minorHAnsi"/>
        </w:rPr>
        <w:t>s</w:t>
      </w:r>
      <w:r w:rsidRPr="00FC5BD1">
        <w:rPr>
          <w:rFonts w:cstheme="minorHAnsi"/>
        </w:rPr>
        <w:t xml:space="preserve"> </w:t>
      </w:r>
      <w:r w:rsidR="004B1D4C" w:rsidRPr="00FC5BD1">
        <w:rPr>
          <w:rFonts w:cstheme="minorHAnsi"/>
        </w:rPr>
        <w:t>purchasing</w:t>
      </w:r>
      <w:r w:rsidRPr="00FC5BD1">
        <w:rPr>
          <w:rFonts w:cstheme="minorHAnsi"/>
        </w:rPr>
        <w:t xml:space="preserve"> (Jackson, </w:t>
      </w:r>
      <w:r w:rsidRPr="00FC5BD1">
        <w:rPr>
          <w:rFonts w:cstheme="minorHAnsi"/>
          <w:color w:val="C00000"/>
        </w:rPr>
        <w:t>2014</w:t>
      </w:r>
      <w:r w:rsidRPr="00FC5BD1">
        <w:rPr>
          <w:rFonts w:cstheme="minorHAnsi"/>
        </w:rPr>
        <w:t>), which goes against the philosophy of reduce, reuse</w:t>
      </w:r>
      <w:r w:rsidR="00A040FF" w:rsidRPr="00FC5BD1">
        <w:rPr>
          <w:rFonts w:cstheme="minorHAnsi"/>
        </w:rPr>
        <w:t>,</w:t>
      </w:r>
      <w:r w:rsidRPr="00FC5BD1">
        <w:rPr>
          <w:rFonts w:cstheme="minorHAnsi"/>
        </w:rPr>
        <w:t xml:space="preserve"> and recycle. This finding represents an</w:t>
      </w:r>
      <w:r w:rsidR="004B1D4C" w:rsidRPr="00FC5BD1">
        <w:rPr>
          <w:rFonts w:cstheme="minorHAnsi"/>
        </w:rPr>
        <w:t xml:space="preserve"> </w:t>
      </w:r>
      <w:r w:rsidRPr="00FC5BD1">
        <w:rPr>
          <w:rFonts w:cstheme="minorHAnsi"/>
        </w:rPr>
        <w:t xml:space="preserve">opportunity </w:t>
      </w:r>
      <w:r w:rsidR="003F31C9" w:rsidRPr="00FC5BD1">
        <w:rPr>
          <w:rFonts w:cstheme="minorHAnsi"/>
        </w:rPr>
        <w:t xml:space="preserve">area </w:t>
      </w:r>
      <w:r w:rsidRPr="00FC5BD1">
        <w:rPr>
          <w:rFonts w:cstheme="minorHAnsi"/>
        </w:rPr>
        <w:t>for research, considering sustainable consumption with two dimensions: smart-</w:t>
      </w:r>
      <w:r w:rsidR="00A040FF" w:rsidRPr="00FC5BD1">
        <w:rPr>
          <w:rFonts w:cstheme="minorHAnsi"/>
        </w:rPr>
        <w:t>measured</w:t>
      </w:r>
      <w:r w:rsidRPr="00FC5BD1">
        <w:rPr>
          <w:rFonts w:cstheme="minorHAnsi"/>
        </w:rPr>
        <w:t xml:space="preserve"> consumption and purchases of sustainable products.</w:t>
      </w:r>
    </w:p>
    <w:p w14:paraId="01B37FCA" w14:textId="30A03F26" w:rsidR="000174B3" w:rsidRPr="00FC5BD1" w:rsidRDefault="000174B3" w:rsidP="003C06D5">
      <w:pPr>
        <w:spacing w:after="240" w:line="360" w:lineRule="auto"/>
        <w:jc w:val="both"/>
        <w:rPr>
          <w:rFonts w:cstheme="minorHAnsi"/>
        </w:rPr>
      </w:pPr>
      <w:r w:rsidRPr="00FC5BD1">
        <w:rPr>
          <w:rFonts w:cstheme="minorHAnsi"/>
        </w:rPr>
        <w:t xml:space="preserve">Subjective norms turned out to be the variable with the greatest effect on sustainable </w:t>
      </w:r>
      <w:r w:rsidR="009E4B29" w:rsidRPr="00FC5BD1">
        <w:rPr>
          <w:rFonts w:cstheme="minorHAnsi"/>
        </w:rPr>
        <w:t xml:space="preserve">food </w:t>
      </w:r>
      <w:r w:rsidRPr="00FC5BD1">
        <w:rPr>
          <w:rFonts w:cstheme="minorHAnsi"/>
        </w:rPr>
        <w:t xml:space="preserve">consumption </w:t>
      </w:r>
      <w:r w:rsidR="008049F0" w:rsidRPr="00FC5BD1">
        <w:rPr>
          <w:rFonts w:cstheme="minorHAnsi"/>
        </w:rPr>
        <w:t>in</w:t>
      </w:r>
      <w:r w:rsidRPr="00FC5BD1">
        <w:rPr>
          <w:rFonts w:cstheme="minorHAnsi"/>
        </w:rPr>
        <w:t xml:space="preserve"> </w:t>
      </w:r>
      <w:r w:rsidR="005F1F48" w:rsidRPr="00FC5BD1">
        <w:rPr>
          <w:rFonts w:cstheme="minorHAnsi"/>
        </w:rPr>
        <w:t>C</w:t>
      </w:r>
      <w:r w:rsidRPr="00FC5BD1">
        <w:rPr>
          <w:rFonts w:cstheme="minorHAnsi"/>
        </w:rPr>
        <w:t xml:space="preserve">entennials for 2021 and for 2023 after sustainable purchase </w:t>
      </w:r>
      <w:r w:rsidR="00D14140" w:rsidRPr="00FC5BD1">
        <w:rPr>
          <w:rFonts w:cstheme="minorHAnsi"/>
        </w:rPr>
        <w:t>intention since</w:t>
      </w:r>
      <w:r w:rsidRPr="00FC5BD1">
        <w:rPr>
          <w:rFonts w:cstheme="minorHAnsi"/>
        </w:rPr>
        <w:t xml:space="preserve"> they somehow reflect an awareness of the consequences of their decisions for others and for the environment. This finding supports what Shaw, Shiu and Clarke (</w:t>
      </w:r>
      <w:r w:rsidRPr="00FC5BD1">
        <w:rPr>
          <w:rFonts w:cstheme="minorHAnsi"/>
          <w:color w:val="C00000"/>
        </w:rPr>
        <w:t>2000</w:t>
      </w:r>
      <w:r w:rsidRPr="00FC5BD1">
        <w:rPr>
          <w:rFonts w:cstheme="minorHAnsi"/>
        </w:rPr>
        <w:t>) have suggested since the beginning of the century: to obtain better predictive results on sustainable consumption, it is necessary to consider variables that reflect prosocial and responsible individual behaviors.</w:t>
      </w:r>
    </w:p>
    <w:p w14:paraId="36FFF658" w14:textId="70DBA36B" w:rsidR="000174B3" w:rsidRPr="00FC5BD1" w:rsidRDefault="000174B3" w:rsidP="003C06D5">
      <w:pPr>
        <w:spacing w:after="240" w:line="360" w:lineRule="auto"/>
        <w:jc w:val="both"/>
        <w:rPr>
          <w:rFonts w:cstheme="minorHAnsi"/>
        </w:rPr>
      </w:pPr>
      <w:r w:rsidRPr="00FC5BD1">
        <w:rPr>
          <w:rFonts w:cstheme="minorHAnsi"/>
        </w:rPr>
        <w:t xml:space="preserve">Along with subjective norms, perceived behavioral </w:t>
      </w:r>
      <w:r w:rsidR="003C4661" w:rsidRPr="00FC5BD1">
        <w:rPr>
          <w:rFonts w:cstheme="minorHAnsi"/>
        </w:rPr>
        <w:t>control</w:t>
      </w:r>
      <w:r w:rsidRPr="00FC5BD1">
        <w:rPr>
          <w:rFonts w:cstheme="minorHAnsi"/>
        </w:rPr>
        <w:t xml:space="preserve"> was the other variable that remained in the 2021 and 2023 regression equations. Although </w:t>
      </w:r>
      <w:proofErr w:type="gramStart"/>
      <w:r w:rsidR="005F1F48" w:rsidRPr="00FC5BD1">
        <w:rPr>
          <w:rFonts w:cstheme="minorHAnsi"/>
        </w:rPr>
        <w:t>C</w:t>
      </w:r>
      <w:r w:rsidRPr="00FC5BD1">
        <w:rPr>
          <w:rFonts w:cstheme="minorHAnsi"/>
        </w:rPr>
        <w:t>entennials</w:t>
      </w:r>
      <w:proofErr w:type="gramEnd"/>
      <w:r w:rsidRPr="00FC5BD1">
        <w:rPr>
          <w:rFonts w:cstheme="minorHAnsi"/>
        </w:rPr>
        <w:t xml:space="preserve"> are the generation most interested in incorporating sustainability into their daily lives (Dabija, et al. </w:t>
      </w:r>
      <w:r w:rsidRPr="00FC5BD1">
        <w:rPr>
          <w:rFonts w:cstheme="minorHAnsi"/>
          <w:color w:val="C00000"/>
        </w:rPr>
        <w:t>2019</w:t>
      </w:r>
      <w:r w:rsidRPr="00FC5BD1">
        <w:rPr>
          <w:rFonts w:cstheme="minorHAnsi"/>
        </w:rPr>
        <w:t xml:space="preserve">), during the pandemic they recognized that it was not up to them to use and buy food products in a sustainable way, which was reflected in the average obtained (4.21). </w:t>
      </w:r>
      <w:r w:rsidR="003C4661" w:rsidRPr="00FC5BD1">
        <w:rPr>
          <w:rFonts w:cstheme="minorHAnsi"/>
        </w:rPr>
        <w:t>D</w:t>
      </w:r>
      <w:r w:rsidRPr="00FC5BD1">
        <w:rPr>
          <w:rFonts w:cstheme="minorHAnsi"/>
        </w:rPr>
        <w:t xml:space="preserve">uring the </w:t>
      </w:r>
      <w:r w:rsidR="002E20B2" w:rsidRPr="00FC5BD1">
        <w:rPr>
          <w:rFonts w:cstheme="minorHAnsi"/>
        </w:rPr>
        <w:t xml:space="preserve">COVID-19 </w:t>
      </w:r>
      <w:r w:rsidRPr="00FC5BD1">
        <w:rPr>
          <w:rFonts w:cstheme="minorHAnsi"/>
        </w:rPr>
        <w:t xml:space="preserve">confinement, older generations took charge of food purchases, which for health </w:t>
      </w:r>
      <w:r w:rsidR="002E20B2" w:rsidRPr="00FC5BD1">
        <w:rPr>
          <w:rFonts w:cstheme="minorHAnsi"/>
        </w:rPr>
        <w:t>care</w:t>
      </w:r>
      <w:r w:rsidRPr="00FC5BD1">
        <w:rPr>
          <w:rFonts w:cstheme="minorHAnsi"/>
        </w:rPr>
        <w:t>, brought more plastic packaging</w:t>
      </w:r>
      <w:r w:rsidR="003C4661" w:rsidRPr="00FC5BD1">
        <w:rPr>
          <w:rFonts w:cstheme="minorHAnsi"/>
        </w:rPr>
        <w:t>.</w:t>
      </w:r>
      <w:r w:rsidRPr="00FC5BD1">
        <w:rPr>
          <w:rFonts w:cstheme="minorHAnsi"/>
        </w:rPr>
        <w:t xml:space="preserve"> After the pandemic, this perception changed </w:t>
      </w:r>
      <w:r w:rsidRPr="00FC5BD1">
        <w:rPr>
          <w:rFonts w:cstheme="minorHAnsi"/>
        </w:rPr>
        <w:lastRenderedPageBreak/>
        <w:t>drastically, r</w:t>
      </w:r>
      <w:r w:rsidR="005F1F48" w:rsidRPr="00FC5BD1">
        <w:rPr>
          <w:rFonts w:cstheme="minorHAnsi"/>
        </w:rPr>
        <w:t>ai</w:t>
      </w:r>
      <w:r w:rsidRPr="00FC5BD1">
        <w:rPr>
          <w:rFonts w:cstheme="minorHAnsi"/>
        </w:rPr>
        <w:t xml:space="preserve">sing its average </w:t>
      </w:r>
      <w:r w:rsidR="002E20B2" w:rsidRPr="00FC5BD1">
        <w:rPr>
          <w:rFonts w:cstheme="minorHAnsi"/>
        </w:rPr>
        <w:t>to</w:t>
      </w:r>
      <w:r w:rsidRPr="00FC5BD1">
        <w:rPr>
          <w:rFonts w:cstheme="minorHAnsi"/>
        </w:rPr>
        <w:t xml:space="preserve"> 7.99: </w:t>
      </w:r>
      <w:r w:rsidR="002E20B2" w:rsidRPr="00FC5BD1">
        <w:rPr>
          <w:rFonts w:cstheme="minorHAnsi"/>
        </w:rPr>
        <w:t>Generation</w:t>
      </w:r>
      <w:r w:rsidRPr="00FC5BD1">
        <w:rPr>
          <w:rFonts w:cstheme="minorHAnsi"/>
        </w:rPr>
        <w:t xml:space="preserve"> Z recognize</w:t>
      </w:r>
      <w:r w:rsidR="002E20B2" w:rsidRPr="00FC5BD1">
        <w:rPr>
          <w:rFonts w:cstheme="minorHAnsi"/>
        </w:rPr>
        <w:t>s</w:t>
      </w:r>
      <w:r w:rsidRPr="00FC5BD1">
        <w:rPr>
          <w:rFonts w:cstheme="minorHAnsi"/>
        </w:rPr>
        <w:t xml:space="preserve"> the facilities that exist to incorporate a more sustainable lifestyle into their daily lives.</w:t>
      </w:r>
    </w:p>
    <w:p w14:paraId="5849F950" w14:textId="0AF24CD2" w:rsidR="001210B4" w:rsidRPr="00FC5BD1" w:rsidRDefault="0033496D" w:rsidP="003C06D5">
      <w:pPr>
        <w:spacing w:after="240" w:line="360" w:lineRule="auto"/>
        <w:jc w:val="both"/>
        <w:rPr>
          <w:rFonts w:cstheme="minorHAnsi"/>
        </w:rPr>
      </w:pPr>
      <w:r w:rsidRPr="00FC5BD1">
        <w:rPr>
          <w:rFonts w:cstheme="minorHAnsi"/>
        </w:rPr>
        <w:t>Because of</w:t>
      </w:r>
      <w:r w:rsidR="001210B4" w:rsidRPr="00FC5BD1">
        <w:rPr>
          <w:rFonts w:cstheme="minorHAnsi"/>
        </w:rPr>
        <w:t xml:space="preserve"> their young age,</w:t>
      </w:r>
      <w:r w:rsidRPr="00FC5BD1">
        <w:rPr>
          <w:rFonts w:cstheme="minorHAnsi"/>
        </w:rPr>
        <w:t xml:space="preserve"> during the pandemic,</w:t>
      </w:r>
      <w:r w:rsidR="001210B4" w:rsidRPr="00FC5BD1">
        <w:rPr>
          <w:rFonts w:cstheme="minorHAnsi"/>
        </w:rPr>
        <w:t xml:space="preserve"> </w:t>
      </w:r>
      <w:r w:rsidR="006F37F1" w:rsidRPr="00FC5BD1">
        <w:rPr>
          <w:rFonts w:cstheme="minorHAnsi"/>
        </w:rPr>
        <w:t>G</w:t>
      </w:r>
      <w:r w:rsidR="001210B4" w:rsidRPr="00FC5BD1">
        <w:rPr>
          <w:rFonts w:cstheme="minorHAnsi"/>
        </w:rPr>
        <w:t xml:space="preserve">eneration Z had </w:t>
      </w:r>
      <w:r w:rsidRPr="00FC5BD1">
        <w:rPr>
          <w:rFonts w:cstheme="minorHAnsi"/>
        </w:rPr>
        <w:t>less decision-making power</w:t>
      </w:r>
      <w:r w:rsidR="001210B4" w:rsidRPr="00FC5BD1">
        <w:rPr>
          <w:rFonts w:cstheme="minorHAnsi"/>
        </w:rPr>
        <w:t xml:space="preserve">, which is why purchase intention was not significant </w:t>
      </w:r>
      <w:r w:rsidRPr="00FC5BD1">
        <w:rPr>
          <w:rFonts w:cstheme="minorHAnsi"/>
        </w:rPr>
        <w:t xml:space="preserve">for </w:t>
      </w:r>
      <w:r w:rsidR="001210B4" w:rsidRPr="00FC5BD1">
        <w:rPr>
          <w:rFonts w:cstheme="minorHAnsi"/>
        </w:rPr>
        <w:t xml:space="preserve">more sustainable consumption. </w:t>
      </w:r>
      <w:r w:rsidR="006F37F1" w:rsidRPr="00FC5BD1">
        <w:rPr>
          <w:rFonts w:cstheme="minorHAnsi"/>
        </w:rPr>
        <w:t>In contrast</w:t>
      </w:r>
      <w:r w:rsidR="001210B4" w:rsidRPr="00FC5BD1">
        <w:rPr>
          <w:rFonts w:cstheme="minorHAnsi"/>
        </w:rPr>
        <w:t xml:space="preserve">, in the new normal, older </w:t>
      </w:r>
      <w:r w:rsidR="006F37F1" w:rsidRPr="00FC5BD1">
        <w:rPr>
          <w:rFonts w:cstheme="minorHAnsi"/>
        </w:rPr>
        <w:t>C</w:t>
      </w:r>
      <w:r w:rsidR="001210B4" w:rsidRPr="00FC5BD1">
        <w:rPr>
          <w:rFonts w:cstheme="minorHAnsi"/>
        </w:rPr>
        <w:t xml:space="preserve">entennials have acquired responsibilities such as their first job or attending </w:t>
      </w:r>
      <w:r w:rsidR="006F37F1" w:rsidRPr="00FC5BD1">
        <w:rPr>
          <w:rFonts w:cstheme="minorHAnsi"/>
        </w:rPr>
        <w:t>college</w:t>
      </w:r>
      <w:r w:rsidR="001210B4" w:rsidRPr="00FC5BD1">
        <w:rPr>
          <w:rFonts w:cstheme="minorHAnsi"/>
        </w:rPr>
        <w:t xml:space="preserve">, which has given them </w:t>
      </w:r>
      <w:r w:rsidR="006F37F1" w:rsidRPr="00FC5BD1">
        <w:rPr>
          <w:rFonts w:cstheme="minorHAnsi"/>
        </w:rPr>
        <w:t>more</w:t>
      </w:r>
      <w:r w:rsidR="001210B4" w:rsidRPr="00FC5BD1">
        <w:rPr>
          <w:rFonts w:cstheme="minorHAnsi"/>
        </w:rPr>
        <w:t xml:space="preserve"> decision-making power over what they buy, </w:t>
      </w:r>
      <w:r w:rsidR="006F37F1" w:rsidRPr="00FC5BD1">
        <w:rPr>
          <w:rFonts w:cstheme="minorHAnsi"/>
        </w:rPr>
        <w:t>thus</w:t>
      </w:r>
      <w:r w:rsidR="001210B4" w:rsidRPr="00FC5BD1">
        <w:rPr>
          <w:rFonts w:cstheme="minorHAnsi"/>
        </w:rPr>
        <w:t xml:space="preserve"> increasing their</w:t>
      </w:r>
      <w:r w:rsidR="00855AA7" w:rsidRPr="00FC5BD1">
        <w:rPr>
          <w:rFonts w:cstheme="minorHAnsi"/>
        </w:rPr>
        <w:t xml:space="preserve"> </w:t>
      </w:r>
      <w:r w:rsidR="001210B4" w:rsidRPr="00FC5BD1">
        <w:rPr>
          <w:rFonts w:cstheme="minorHAnsi"/>
        </w:rPr>
        <w:t xml:space="preserve">purchase intention. With this, it can be affirmed that the basic postulates of the Theory of Planned Behavior are fulfilled, </w:t>
      </w:r>
      <w:r w:rsidR="00076D43" w:rsidRPr="00FC5BD1">
        <w:rPr>
          <w:rFonts w:cstheme="minorHAnsi"/>
        </w:rPr>
        <w:t>if</w:t>
      </w:r>
      <w:r w:rsidR="001210B4" w:rsidRPr="00FC5BD1">
        <w:rPr>
          <w:rFonts w:cstheme="minorHAnsi"/>
        </w:rPr>
        <w:t xml:space="preserve"> individuals have decision-making power and the freedom to select what they prefer.</w:t>
      </w:r>
    </w:p>
    <w:p w14:paraId="0AA0F6B4" w14:textId="0F2EEE53" w:rsidR="001210B4" w:rsidRPr="00FC5BD1" w:rsidRDefault="00CB0868" w:rsidP="00CB0868">
      <w:pPr>
        <w:pStyle w:val="Ttulo1"/>
        <w:numPr>
          <w:ilvl w:val="0"/>
          <w:numId w:val="2"/>
        </w:numPr>
        <w:spacing w:before="0" w:after="0"/>
        <w:rPr>
          <w:rFonts w:cstheme="minorHAnsi"/>
          <w:bCs/>
        </w:rPr>
      </w:pPr>
      <w:r w:rsidRPr="00FC5BD1">
        <w:rPr>
          <w:rFonts w:cstheme="minorHAnsi"/>
          <w:bCs/>
        </w:rPr>
        <w:t>Conclusions</w:t>
      </w:r>
    </w:p>
    <w:p w14:paraId="0FB84E12" w14:textId="7A5BB3C2" w:rsidR="001210B4" w:rsidRPr="00FC5BD1" w:rsidRDefault="00750261" w:rsidP="003C06D5">
      <w:pPr>
        <w:spacing w:after="240" w:line="360" w:lineRule="auto"/>
        <w:jc w:val="both"/>
        <w:rPr>
          <w:rFonts w:cstheme="minorHAnsi"/>
        </w:rPr>
      </w:pPr>
      <w:r w:rsidRPr="00FC5BD1">
        <w:rPr>
          <w:rFonts w:cstheme="minorHAnsi"/>
        </w:rPr>
        <w:t>I</w:t>
      </w:r>
      <w:r w:rsidR="001210B4" w:rsidRPr="00FC5BD1">
        <w:rPr>
          <w:rFonts w:cstheme="minorHAnsi"/>
        </w:rPr>
        <w:t xml:space="preserve">n countries with emerging economies, </w:t>
      </w:r>
      <w:r w:rsidR="00855AA7" w:rsidRPr="00FC5BD1">
        <w:rPr>
          <w:rFonts w:cstheme="minorHAnsi"/>
        </w:rPr>
        <w:t>in a</w:t>
      </w:r>
      <w:r w:rsidR="001210B4" w:rsidRPr="00FC5BD1">
        <w:rPr>
          <w:rFonts w:cstheme="minorHAnsi"/>
        </w:rPr>
        <w:t xml:space="preserve"> large part of the population </w:t>
      </w:r>
      <w:r w:rsidR="00855AA7" w:rsidRPr="00FC5BD1">
        <w:rPr>
          <w:rFonts w:cstheme="minorHAnsi"/>
        </w:rPr>
        <w:t>there is a deficient</w:t>
      </w:r>
      <w:r w:rsidR="001210B4" w:rsidRPr="00FC5BD1">
        <w:rPr>
          <w:rFonts w:cstheme="minorHAnsi"/>
        </w:rPr>
        <w:t xml:space="preserve"> education on sustainable issues and a great lack of information on what can be done to reuse, reduce and recycle; in addition to proper waste management (Dabija, et al. </w:t>
      </w:r>
      <w:r w:rsidR="001210B4" w:rsidRPr="00FC5BD1">
        <w:rPr>
          <w:rFonts w:cstheme="minorHAnsi"/>
          <w:color w:val="C00000"/>
        </w:rPr>
        <w:t>2020</w:t>
      </w:r>
      <w:r w:rsidR="001210B4" w:rsidRPr="00FC5BD1">
        <w:rPr>
          <w:rFonts w:cstheme="minorHAnsi"/>
        </w:rPr>
        <w:t xml:space="preserve">). </w:t>
      </w:r>
      <w:r w:rsidR="00855AA7" w:rsidRPr="00FC5BD1">
        <w:rPr>
          <w:rFonts w:cstheme="minorHAnsi"/>
        </w:rPr>
        <w:t>Specifically</w:t>
      </w:r>
      <w:r w:rsidR="001210B4" w:rsidRPr="00FC5BD1">
        <w:rPr>
          <w:rFonts w:cstheme="minorHAnsi"/>
        </w:rPr>
        <w:t>, in Mexico, there is no solid government plan that encourages sustainable consumer behavior (</w:t>
      </w:r>
      <w:r w:rsidR="001B6EBD" w:rsidRPr="00FC5BD1">
        <w:rPr>
          <w:rFonts w:cstheme="minorHAnsi"/>
        </w:rPr>
        <w:t>Peñalosa</w:t>
      </w:r>
      <w:r w:rsidR="001210B4" w:rsidRPr="00FC5BD1">
        <w:rPr>
          <w:rFonts w:cstheme="minorHAnsi"/>
        </w:rPr>
        <w:t xml:space="preserve">-Otero, et al. </w:t>
      </w:r>
      <w:r w:rsidR="001210B4" w:rsidRPr="00FC5BD1">
        <w:rPr>
          <w:rFonts w:cstheme="minorHAnsi"/>
          <w:color w:val="C00000"/>
        </w:rPr>
        <w:t>2020</w:t>
      </w:r>
      <w:r w:rsidR="001210B4" w:rsidRPr="00FC5BD1">
        <w:rPr>
          <w:rFonts w:cstheme="minorHAnsi"/>
        </w:rPr>
        <w:t xml:space="preserve">), nor policies or initiatives to adopt more rigorous sustainable production and consumption practices (Luthra et al., </w:t>
      </w:r>
      <w:r w:rsidR="001210B4" w:rsidRPr="00FC5BD1">
        <w:rPr>
          <w:rFonts w:cstheme="minorHAnsi"/>
          <w:color w:val="C00000"/>
        </w:rPr>
        <w:t>2016</w:t>
      </w:r>
      <w:r w:rsidR="001210B4" w:rsidRPr="00FC5BD1">
        <w:rPr>
          <w:rFonts w:cstheme="minorHAnsi"/>
        </w:rPr>
        <w:t xml:space="preserve">), which has </w:t>
      </w:r>
      <w:r w:rsidR="006F37F1" w:rsidRPr="00FC5BD1">
        <w:rPr>
          <w:rFonts w:cstheme="minorHAnsi"/>
        </w:rPr>
        <w:t>an impact</w:t>
      </w:r>
      <w:r w:rsidR="00855AA7" w:rsidRPr="00FC5BD1">
        <w:rPr>
          <w:rFonts w:cstheme="minorHAnsi"/>
        </w:rPr>
        <w:t xml:space="preserve"> </w:t>
      </w:r>
      <w:r w:rsidR="001210B4" w:rsidRPr="00FC5BD1">
        <w:rPr>
          <w:rFonts w:cstheme="minorHAnsi"/>
        </w:rPr>
        <w:t xml:space="preserve">on the </w:t>
      </w:r>
      <w:r w:rsidR="00855AA7" w:rsidRPr="00FC5BD1">
        <w:rPr>
          <w:rFonts w:cstheme="minorHAnsi"/>
        </w:rPr>
        <w:t>lack of</w:t>
      </w:r>
      <w:r w:rsidR="001210B4" w:rsidRPr="00FC5BD1">
        <w:rPr>
          <w:rFonts w:cstheme="minorHAnsi"/>
        </w:rPr>
        <w:t xml:space="preserve"> information on food products with</w:t>
      </w:r>
      <w:r w:rsidR="00EC0F8F" w:rsidRPr="00FC5BD1">
        <w:rPr>
          <w:rFonts w:cstheme="minorHAnsi"/>
        </w:rPr>
        <w:t xml:space="preserve"> environmentally friendly</w:t>
      </w:r>
      <w:r w:rsidR="001210B4" w:rsidRPr="00FC5BD1">
        <w:rPr>
          <w:rFonts w:cstheme="minorHAnsi"/>
        </w:rPr>
        <w:t xml:space="preserve"> inputs and production processes.</w:t>
      </w:r>
    </w:p>
    <w:p w14:paraId="4077258C" w14:textId="4F0AEECB" w:rsidR="001210B4" w:rsidRPr="00FC5BD1" w:rsidRDefault="001210B4" w:rsidP="003C06D5">
      <w:pPr>
        <w:spacing w:after="240" w:line="360" w:lineRule="auto"/>
        <w:jc w:val="both"/>
        <w:rPr>
          <w:rFonts w:cstheme="minorHAnsi"/>
        </w:rPr>
      </w:pPr>
      <w:r w:rsidRPr="00FC5BD1">
        <w:rPr>
          <w:rFonts w:cstheme="minorHAnsi"/>
        </w:rPr>
        <w:t xml:space="preserve">Given the power of decision and persuasion that they now have, </w:t>
      </w:r>
      <w:r w:rsidR="006F37F1" w:rsidRPr="00FC5BD1">
        <w:rPr>
          <w:rFonts w:cstheme="minorHAnsi"/>
        </w:rPr>
        <w:t>G</w:t>
      </w:r>
      <w:r w:rsidRPr="00FC5BD1">
        <w:rPr>
          <w:rFonts w:cstheme="minorHAnsi"/>
        </w:rPr>
        <w:t xml:space="preserve">eneration Z can become an agent of change that raises awareness about the power that consumers have to curb excessive consumption: they have the challenge of carrying out actions that also involve people from other generations (Dabija, et al. </w:t>
      </w:r>
      <w:r w:rsidRPr="00FC5BD1">
        <w:rPr>
          <w:rFonts w:cstheme="minorHAnsi"/>
          <w:color w:val="C00000"/>
        </w:rPr>
        <w:t>2020</w:t>
      </w:r>
      <w:r w:rsidRPr="00FC5BD1">
        <w:rPr>
          <w:rFonts w:cstheme="minorHAnsi"/>
        </w:rPr>
        <w:t xml:space="preserve">), </w:t>
      </w:r>
      <w:r w:rsidR="00EC0F8F" w:rsidRPr="00FC5BD1">
        <w:rPr>
          <w:rFonts w:cstheme="minorHAnsi"/>
        </w:rPr>
        <w:t>raising awareness among the</w:t>
      </w:r>
      <w:r w:rsidRPr="00FC5BD1">
        <w:rPr>
          <w:rFonts w:cstheme="minorHAnsi"/>
        </w:rPr>
        <w:t xml:space="preserve"> population that with small changes in the way of producing and using energy and in our diet, they can help curb the effects on the environment (Planeta </w:t>
      </w:r>
      <w:proofErr w:type="spellStart"/>
      <w:r w:rsidRPr="00FC5BD1">
        <w:rPr>
          <w:rFonts w:cstheme="minorHAnsi"/>
        </w:rPr>
        <w:t>Recicla</w:t>
      </w:r>
      <w:proofErr w:type="spellEnd"/>
      <w:r w:rsidRPr="00FC5BD1">
        <w:rPr>
          <w:rFonts w:cstheme="minorHAnsi"/>
        </w:rPr>
        <w:t xml:space="preserve">, </w:t>
      </w:r>
      <w:r w:rsidRPr="00FC5BD1">
        <w:rPr>
          <w:rFonts w:cstheme="minorHAnsi"/>
          <w:color w:val="C00000"/>
        </w:rPr>
        <w:t>2017</w:t>
      </w:r>
      <w:r w:rsidRPr="00FC5BD1">
        <w:rPr>
          <w:rFonts w:cstheme="minorHAnsi"/>
        </w:rPr>
        <w:t>).</w:t>
      </w:r>
    </w:p>
    <w:p w14:paraId="69B626E6" w14:textId="0840E15E" w:rsidR="001210B4" w:rsidRPr="00FC5BD1" w:rsidRDefault="001210B4" w:rsidP="003C06D5">
      <w:pPr>
        <w:spacing w:after="240" w:line="360" w:lineRule="auto"/>
        <w:jc w:val="both"/>
        <w:rPr>
          <w:rFonts w:cstheme="minorHAnsi"/>
        </w:rPr>
      </w:pPr>
      <w:r w:rsidRPr="00FC5BD1">
        <w:rPr>
          <w:rFonts w:cstheme="minorHAnsi"/>
        </w:rPr>
        <w:lastRenderedPageBreak/>
        <w:t xml:space="preserve">It is convenient to continue </w:t>
      </w:r>
      <w:r w:rsidR="00FA617E" w:rsidRPr="00FC5BD1">
        <w:rPr>
          <w:rFonts w:cstheme="minorHAnsi"/>
        </w:rPr>
        <w:t>researching on</w:t>
      </w:r>
      <w:r w:rsidRPr="00FC5BD1">
        <w:rPr>
          <w:rFonts w:cstheme="minorHAnsi"/>
        </w:rPr>
        <w:t xml:space="preserve"> the aspects that are evolving in </w:t>
      </w:r>
      <w:r w:rsidR="00FA617E" w:rsidRPr="00FC5BD1">
        <w:rPr>
          <w:rFonts w:cstheme="minorHAnsi"/>
        </w:rPr>
        <w:t>C</w:t>
      </w:r>
      <w:r w:rsidRPr="00FC5BD1">
        <w:rPr>
          <w:rFonts w:cstheme="minorHAnsi"/>
        </w:rPr>
        <w:t xml:space="preserve">entennials, because soon </w:t>
      </w:r>
      <w:r w:rsidR="00EC0F8F" w:rsidRPr="00FC5BD1">
        <w:rPr>
          <w:rFonts w:cstheme="minorHAnsi"/>
        </w:rPr>
        <w:t xml:space="preserve">they will </w:t>
      </w:r>
      <w:r w:rsidRPr="00FC5BD1">
        <w:rPr>
          <w:rFonts w:cstheme="minorHAnsi"/>
        </w:rPr>
        <w:t xml:space="preserve">be the </w:t>
      </w:r>
      <w:r w:rsidR="00EC0F8F" w:rsidRPr="00FC5BD1">
        <w:rPr>
          <w:rFonts w:cstheme="minorHAnsi"/>
        </w:rPr>
        <w:t>decision makers</w:t>
      </w:r>
      <w:r w:rsidRPr="00FC5BD1">
        <w:rPr>
          <w:rFonts w:cstheme="minorHAnsi"/>
        </w:rPr>
        <w:t xml:space="preserve"> in governments and companies. </w:t>
      </w:r>
      <w:r w:rsidR="00EC0F8F" w:rsidRPr="00FC5BD1">
        <w:rPr>
          <w:rFonts w:cstheme="minorHAnsi"/>
        </w:rPr>
        <w:t>In the absence</w:t>
      </w:r>
      <w:r w:rsidRPr="00FC5BD1">
        <w:rPr>
          <w:rFonts w:cstheme="minorHAnsi"/>
        </w:rPr>
        <w:t xml:space="preserve"> of actions from governments and companies, </w:t>
      </w:r>
      <w:r w:rsidR="00FA617E" w:rsidRPr="00FC5BD1">
        <w:rPr>
          <w:rFonts w:cstheme="minorHAnsi"/>
        </w:rPr>
        <w:t>G</w:t>
      </w:r>
      <w:r w:rsidRPr="00FC5BD1">
        <w:rPr>
          <w:rFonts w:cstheme="minorHAnsi"/>
        </w:rPr>
        <w:t>eneration Z is empowering itself to promote the development of more sustainable production systems, since it is more environmentally conscious. From now on, organizations must consider the decision</w:t>
      </w:r>
      <w:r w:rsidR="00EC0F8F" w:rsidRPr="00FC5BD1">
        <w:rPr>
          <w:rFonts w:cstheme="minorHAnsi"/>
        </w:rPr>
        <w:t>-making power</w:t>
      </w:r>
      <w:r w:rsidRPr="00FC5BD1">
        <w:rPr>
          <w:rFonts w:cstheme="minorHAnsi"/>
        </w:rPr>
        <w:t xml:space="preserve"> that </w:t>
      </w:r>
      <w:r w:rsidR="00FA617E" w:rsidRPr="00FC5BD1">
        <w:rPr>
          <w:rFonts w:cstheme="minorHAnsi"/>
        </w:rPr>
        <w:t>C</w:t>
      </w:r>
      <w:r w:rsidRPr="00FC5BD1">
        <w:rPr>
          <w:rFonts w:cstheme="minorHAnsi"/>
        </w:rPr>
        <w:t xml:space="preserve">entennials are acquiring, to focus their strategies </w:t>
      </w:r>
      <w:r w:rsidR="00D14140" w:rsidRPr="00FC5BD1">
        <w:rPr>
          <w:rFonts w:cstheme="minorHAnsi"/>
        </w:rPr>
        <w:t>on</w:t>
      </w:r>
      <w:r w:rsidRPr="00FC5BD1">
        <w:rPr>
          <w:rFonts w:cstheme="minorHAnsi"/>
        </w:rPr>
        <w:t xml:space="preserve"> sustainability.</w:t>
      </w:r>
    </w:p>
    <w:p w14:paraId="096360DD" w14:textId="58F488A9" w:rsidR="001210B4" w:rsidRPr="00FC5BD1" w:rsidRDefault="001210B4" w:rsidP="003C06D5">
      <w:pPr>
        <w:spacing w:after="240" w:line="360" w:lineRule="auto"/>
        <w:jc w:val="both"/>
        <w:rPr>
          <w:rFonts w:cstheme="minorHAnsi"/>
        </w:rPr>
      </w:pPr>
      <w:r w:rsidRPr="00FC5BD1">
        <w:rPr>
          <w:rFonts w:cstheme="minorHAnsi"/>
        </w:rPr>
        <w:t>The efforts</w:t>
      </w:r>
      <w:r w:rsidR="00FA617E" w:rsidRPr="00FC5BD1">
        <w:rPr>
          <w:rFonts w:cstheme="minorHAnsi"/>
        </w:rPr>
        <w:t xml:space="preserve"> </w:t>
      </w:r>
      <w:r w:rsidR="00EC0F8F" w:rsidRPr="00FC5BD1">
        <w:rPr>
          <w:rFonts w:cstheme="minorHAnsi"/>
        </w:rPr>
        <w:t>to</w:t>
      </w:r>
      <w:r w:rsidR="00FA617E" w:rsidRPr="00FC5BD1">
        <w:rPr>
          <w:rFonts w:cstheme="minorHAnsi"/>
        </w:rPr>
        <w:t xml:space="preserve"> </w:t>
      </w:r>
      <w:r w:rsidR="00EC0F8F" w:rsidRPr="00FC5BD1">
        <w:rPr>
          <w:rFonts w:cstheme="minorHAnsi"/>
        </w:rPr>
        <w:t>conduct a</w:t>
      </w:r>
      <w:r w:rsidRPr="00FC5BD1">
        <w:rPr>
          <w:rFonts w:cstheme="minorHAnsi"/>
        </w:rPr>
        <w:t xml:space="preserve"> longitudinal study are justified because </w:t>
      </w:r>
      <w:r w:rsidR="00EC0F8F" w:rsidRPr="00FC5BD1">
        <w:rPr>
          <w:rFonts w:cstheme="minorHAnsi"/>
        </w:rPr>
        <w:t xml:space="preserve">they generate </w:t>
      </w:r>
      <w:r w:rsidRPr="00FC5BD1">
        <w:rPr>
          <w:rFonts w:cstheme="minorHAnsi"/>
        </w:rPr>
        <w:t xml:space="preserve">solid </w:t>
      </w:r>
      <w:r w:rsidR="00EC0F8F" w:rsidRPr="00FC5BD1">
        <w:rPr>
          <w:rFonts w:cstheme="minorHAnsi"/>
        </w:rPr>
        <w:t xml:space="preserve">evidence </w:t>
      </w:r>
      <w:proofErr w:type="gramStart"/>
      <w:r w:rsidR="00FA617E" w:rsidRPr="00FC5BD1">
        <w:rPr>
          <w:rFonts w:cstheme="minorHAnsi"/>
        </w:rPr>
        <w:t>on</w:t>
      </w:r>
      <w:proofErr w:type="gramEnd"/>
      <w:r w:rsidRPr="00FC5BD1">
        <w:rPr>
          <w:rFonts w:cstheme="minorHAnsi"/>
        </w:rPr>
        <w:t xml:space="preserve"> the changes that occur due to certain circumstances. For the </w:t>
      </w:r>
      <w:r w:rsidR="00062483" w:rsidRPr="00FC5BD1">
        <w:rPr>
          <w:rFonts w:cstheme="minorHAnsi"/>
        </w:rPr>
        <w:t xml:space="preserve">specific </w:t>
      </w:r>
      <w:r w:rsidRPr="00FC5BD1">
        <w:rPr>
          <w:rFonts w:cstheme="minorHAnsi"/>
        </w:rPr>
        <w:t xml:space="preserve">case of this study, the circumstances that occurred during and after the pandemic and the changes in </w:t>
      </w:r>
      <w:r w:rsidR="00FA617E" w:rsidRPr="00FC5BD1">
        <w:rPr>
          <w:rFonts w:cstheme="minorHAnsi"/>
        </w:rPr>
        <w:t>C</w:t>
      </w:r>
      <w:r w:rsidRPr="00FC5BD1">
        <w:rPr>
          <w:rFonts w:cstheme="minorHAnsi"/>
        </w:rPr>
        <w:t xml:space="preserve">entennials as they </w:t>
      </w:r>
      <w:r w:rsidR="00D85E8E" w:rsidRPr="00FC5BD1">
        <w:rPr>
          <w:rFonts w:cstheme="minorHAnsi"/>
        </w:rPr>
        <w:t>transitioned</w:t>
      </w:r>
      <w:r w:rsidRPr="00FC5BD1">
        <w:rPr>
          <w:rFonts w:cstheme="minorHAnsi"/>
        </w:rPr>
        <w:t xml:space="preserve"> from adolescents to young adults are especially important </w:t>
      </w:r>
      <w:r w:rsidR="00D85E8E" w:rsidRPr="00FC5BD1">
        <w:rPr>
          <w:rFonts w:cstheme="minorHAnsi"/>
        </w:rPr>
        <w:t>for</w:t>
      </w:r>
      <w:r w:rsidRPr="00FC5BD1">
        <w:rPr>
          <w:rFonts w:cstheme="minorHAnsi"/>
        </w:rPr>
        <w:t xml:space="preserve"> understand</w:t>
      </w:r>
      <w:r w:rsidR="00D85E8E" w:rsidRPr="00FC5BD1">
        <w:rPr>
          <w:rFonts w:cstheme="minorHAnsi"/>
        </w:rPr>
        <w:t>ing</w:t>
      </w:r>
      <w:r w:rsidRPr="00FC5BD1">
        <w:rPr>
          <w:rFonts w:cstheme="minorHAnsi"/>
        </w:rPr>
        <w:t xml:space="preserve"> the variables that intervene in the decision to consume more sustainabl</w:t>
      </w:r>
      <w:r w:rsidR="00FA617E" w:rsidRPr="00FC5BD1">
        <w:rPr>
          <w:rFonts w:cstheme="minorHAnsi"/>
        </w:rPr>
        <w:t>y</w:t>
      </w:r>
      <w:r w:rsidRPr="00FC5BD1">
        <w:rPr>
          <w:rFonts w:cstheme="minorHAnsi"/>
        </w:rPr>
        <w:t>.</w:t>
      </w:r>
    </w:p>
    <w:p w14:paraId="6453F220" w14:textId="5250ACB5" w:rsidR="00225B46" w:rsidRPr="00FC5BD1" w:rsidRDefault="00CB0868" w:rsidP="00CB0868">
      <w:pPr>
        <w:pStyle w:val="Ttulo1"/>
        <w:numPr>
          <w:ilvl w:val="0"/>
          <w:numId w:val="2"/>
        </w:numPr>
        <w:spacing w:before="0" w:after="0"/>
        <w:rPr>
          <w:rFonts w:cstheme="minorHAnsi"/>
          <w:bCs/>
        </w:rPr>
      </w:pPr>
      <w:r w:rsidRPr="00FC5BD1">
        <w:rPr>
          <w:rFonts w:cstheme="minorHAnsi"/>
          <w:bCs/>
        </w:rPr>
        <w:t>References</w:t>
      </w:r>
    </w:p>
    <w:p w14:paraId="037C9430" w14:textId="1A2A287A" w:rsidR="00225B46" w:rsidRPr="00FC5BD1" w:rsidRDefault="00225B46" w:rsidP="004E44A1">
      <w:pPr>
        <w:spacing w:after="240"/>
        <w:ind w:left="851" w:hanging="851"/>
        <w:jc w:val="both"/>
        <w:rPr>
          <w:rFonts w:cstheme="minorHAnsi"/>
        </w:rPr>
      </w:pPr>
      <w:r w:rsidRPr="0064655D">
        <w:rPr>
          <w:rFonts w:cstheme="minorHAnsi"/>
          <w:lang w:val="es-CR"/>
        </w:rPr>
        <w:t>Acuña-Moraga, O., Severino-González, P., Sarmiento-Peralta, G., &amp; Stuardo-Solar, C. (2022). Consumo sostenible en Chile: una aproximación a los objetivos de desarrollo sostenible (ODS). </w:t>
      </w:r>
      <w:proofErr w:type="spellStart"/>
      <w:r w:rsidRPr="00FC5BD1">
        <w:rPr>
          <w:rFonts w:cstheme="minorHAnsi"/>
          <w:i/>
          <w:iCs/>
        </w:rPr>
        <w:t>Información</w:t>
      </w:r>
      <w:proofErr w:type="spellEnd"/>
      <w:r w:rsidRPr="00FC5BD1">
        <w:rPr>
          <w:rFonts w:cstheme="minorHAnsi"/>
          <w:i/>
          <w:iCs/>
        </w:rPr>
        <w:t xml:space="preserve"> </w:t>
      </w:r>
      <w:proofErr w:type="spellStart"/>
      <w:r w:rsidRPr="00FC5BD1">
        <w:rPr>
          <w:rFonts w:cstheme="minorHAnsi"/>
          <w:i/>
          <w:iCs/>
        </w:rPr>
        <w:t>tecnológica</w:t>
      </w:r>
      <w:proofErr w:type="spellEnd"/>
      <w:r w:rsidRPr="00FC5BD1">
        <w:rPr>
          <w:rFonts w:cstheme="minorHAnsi"/>
        </w:rPr>
        <w:t>, </w:t>
      </w:r>
      <w:r w:rsidRPr="00FC5BD1">
        <w:rPr>
          <w:rFonts w:cstheme="minorHAnsi"/>
          <w:i/>
          <w:iCs/>
        </w:rPr>
        <w:t>33</w:t>
      </w:r>
      <w:r w:rsidRPr="00FC5BD1">
        <w:rPr>
          <w:rFonts w:cstheme="minorHAnsi"/>
        </w:rPr>
        <w:t xml:space="preserve">(4), 181-190. </w:t>
      </w:r>
      <w:hyperlink r:id="rId17" w:history="1">
        <w:r w:rsidR="00410A4E" w:rsidRPr="00FC5BD1">
          <w:rPr>
            <w:rStyle w:val="Hipervnculo"/>
            <w:rFonts w:cstheme="minorHAnsi"/>
          </w:rPr>
          <w:t>http://dx.doi.org/10.4067/S0718-07642022000400181</w:t>
        </w:r>
      </w:hyperlink>
    </w:p>
    <w:p w14:paraId="5D4DB1C1" w14:textId="6A137005" w:rsidR="00225B46" w:rsidRPr="00FC5BD1" w:rsidRDefault="00225B46" w:rsidP="004E44A1">
      <w:pPr>
        <w:spacing w:after="240"/>
        <w:ind w:left="851" w:hanging="851"/>
        <w:jc w:val="both"/>
        <w:rPr>
          <w:rFonts w:cstheme="minorHAnsi"/>
        </w:rPr>
      </w:pPr>
      <w:r w:rsidRPr="00FC5BD1">
        <w:rPr>
          <w:rFonts w:cstheme="minorHAnsi"/>
        </w:rPr>
        <w:t>Ajzen, I. (1991). The theory of planned behavior. </w:t>
      </w:r>
      <w:r w:rsidRPr="00FC5BD1">
        <w:rPr>
          <w:rFonts w:cstheme="minorHAnsi"/>
          <w:i/>
          <w:iCs/>
        </w:rPr>
        <w:t>Organizational Behavior and Human Decision Processes,</w:t>
      </w:r>
      <w:r w:rsidRPr="00FC5BD1">
        <w:rPr>
          <w:rFonts w:cstheme="minorHAnsi"/>
        </w:rPr>
        <w:t> </w:t>
      </w:r>
      <w:r w:rsidRPr="00FC5BD1">
        <w:rPr>
          <w:rFonts w:cstheme="minorHAnsi"/>
          <w:i/>
          <w:iCs/>
        </w:rPr>
        <w:t>50</w:t>
      </w:r>
      <w:r w:rsidRPr="00FC5BD1">
        <w:rPr>
          <w:rFonts w:cstheme="minorHAnsi"/>
        </w:rPr>
        <w:t xml:space="preserve">(2), 179–211. </w:t>
      </w:r>
      <w:hyperlink r:id="rId18" w:history="1">
        <w:r w:rsidR="00410A4E" w:rsidRPr="00FC5BD1">
          <w:rPr>
            <w:rStyle w:val="Hipervnculo"/>
            <w:rFonts w:cstheme="minorHAnsi"/>
          </w:rPr>
          <w:t>https://doi.org/10.1016/0749-5978(91)90020-T</w:t>
        </w:r>
      </w:hyperlink>
    </w:p>
    <w:p w14:paraId="08A91B6C" w14:textId="77777777" w:rsidR="00225B46" w:rsidRPr="00FC5BD1" w:rsidRDefault="00225B46" w:rsidP="004E44A1">
      <w:pPr>
        <w:spacing w:after="240"/>
        <w:ind w:left="851" w:hanging="851"/>
        <w:jc w:val="both"/>
        <w:rPr>
          <w:rFonts w:cstheme="minorHAnsi"/>
        </w:rPr>
      </w:pPr>
      <w:r w:rsidRPr="00FC5BD1">
        <w:rPr>
          <w:rFonts w:cstheme="minorHAnsi"/>
        </w:rPr>
        <w:t xml:space="preserve">Ali, Q., Parveen, S., Yaacob, H., Zaini, Z. &amp; </w:t>
      </w:r>
      <w:proofErr w:type="spellStart"/>
      <w:r w:rsidRPr="00FC5BD1">
        <w:rPr>
          <w:rFonts w:cstheme="minorHAnsi"/>
        </w:rPr>
        <w:t>Sarbini</w:t>
      </w:r>
      <w:proofErr w:type="spellEnd"/>
      <w:r w:rsidRPr="00FC5BD1">
        <w:rPr>
          <w:rFonts w:cstheme="minorHAnsi"/>
        </w:rPr>
        <w:t>, N.A. (2021)</w:t>
      </w:r>
      <w:r w:rsidRPr="00FC5BD1">
        <w:rPr>
          <w:rFonts w:cstheme="minorHAnsi"/>
          <w:i/>
          <w:iCs/>
        </w:rPr>
        <w:t>.</w:t>
      </w:r>
      <w:r w:rsidRPr="00FC5BD1">
        <w:rPr>
          <w:rFonts w:cstheme="minorHAnsi"/>
        </w:rPr>
        <w:t> COVID-19 and dynamics of environmental awareness, sustainable consumption and social responsibility in Malaysia. </w:t>
      </w:r>
      <w:r w:rsidRPr="00FC5BD1">
        <w:rPr>
          <w:rFonts w:cstheme="minorHAnsi"/>
          <w:i/>
          <w:iCs/>
        </w:rPr>
        <w:t>Environmental Science and Pollution Research, 28</w:t>
      </w:r>
      <w:r w:rsidRPr="00FC5BD1">
        <w:rPr>
          <w:rFonts w:cstheme="minorHAnsi"/>
        </w:rPr>
        <w:t>(40)</w:t>
      </w:r>
      <w:r w:rsidRPr="00FC5BD1">
        <w:rPr>
          <w:rFonts w:cstheme="minorHAnsi"/>
          <w:b/>
          <w:bCs/>
        </w:rPr>
        <w:t>,</w:t>
      </w:r>
      <w:r w:rsidRPr="00FC5BD1">
        <w:rPr>
          <w:rFonts w:cstheme="minorHAnsi"/>
        </w:rPr>
        <w:t xml:space="preserve"> 56199–56218. </w:t>
      </w:r>
      <w:hyperlink r:id="rId19" w:history="1">
        <w:r w:rsidRPr="00FC5BD1">
          <w:rPr>
            <w:rStyle w:val="Hipervnculo"/>
            <w:rFonts w:cstheme="minorHAnsi"/>
          </w:rPr>
          <w:t>https://doi.org/10.1007/s11356-021-14612-z</w:t>
        </w:r>
      </w:hyperlink>
    </w:p>
    <w:p w14:paraId="5A8DBDB3" w14:textId="6FC4EBFB" w:rsidR="00225B46" w:rsidRPr="00FC5BD1" w:rsidRDefault="00225B46" w:rsidP="004E44A1">
      <w:pPr>
        <w:spacing w:after="240"/>
        <w:ind w:left="851" w:hanging="851"/>
        <w:jc w:val="both"/>
        <w:rPr>
          <w:rFonts w:cstheme="minorHAnsi"/>
          <w:color w:val="222222"/>
          <w:shd w:val="clear" w:color="auto" w:fill="FFFFFF"/>
        </w:rPr>
      </w:pPr>
      <w:r w:rsidRPr="00FC5BD1">
        <w:rPr>
          <w:rFonts w:cstheme="minorHAnsi"/>
          <w:color w:val="222222"/>
          <w:shd w:val="clear" w:color="auto" w:fill="FFFFFF"/>
        </w:rPr>
        <w:t xml:space="preserve">Ato, M., &amp; Vallejo, G. (2011). </w:t>
      </w:r>
      <w:r w:rsidRPr="0064655D">
        <w:rPr>
          <w:rFonts w:cstheme="minorHAnsi"/>
          <w:color w:val="222222"/>
          <w:shd w:val="clear" w:color="auto" w:fill="FFFFFF"/>
          <w:lang w:val="es-CR"/>
        </w:rPr>
        <w:t>Los efectos de terceras variables en la investigación psicológica. </w:t>
      </w:r>
      <w:proofErr w:type="spellStart"/>
      <w:r w:rsidRPr="00FC5BD1">
        <w:rPr>
          <w:rFonts w:cstheme="minorHAnsi"/>
          <w:i/>
          <w:iCs/>
          <w:color w:val="222222"/>
          <w:shd w:val="clear" w:color="auto" w:fill="FFFFFF"/>
        </w:rPr>
        <w:t>Anales</w:t>
      </w:r>
      <w:proofErr w:type="spellEnd"/>
      <w:r w:rsidRPr="00FC5BD1">
        <w:rPr>
          <w:rFonts w:cstheme="minorHAnsi"/>
          <w:i/>
          <w:iCs/>
          <w:color w:val="222222"/>
          <w:shd w:val="clear" w:color="auto" w:fill="FFFFFF"/>
        </w:rPr>
        <w:t xml:space="preserve"> de </w:t>
      </w:r>
      <w:proofErr w:type="spellStart"/>
      <w:r w:rsidRPr="00FC5BD1">
        <w:rPr>
          <w:rFonts w:cstheme="minorHAnsi"/>
          <w:i/>
          <w:iCs/>
          <w:color w:val="222222"/>
          <w:shd w:val="clear" w:color="auto" w:fill="FFFFFF"/>
        </w:rPr>
        <w:t>Psicología</w:t>
      </w:r>
      <w:proofErr w:type="spellEnd"/>
      <w:r w:rsidRPr="00FC5BD1">
        <w:rPr>
          <w:rFonts w:cstheme="minorHAnsi"/>
          <w:i/>
          <w:iCs/>
          <w:color w:val="222222"/>
          <w:shd w:val="clear" w:color="auto" w:fill="FFFFFF"/>
        </w:rPr>
        <w:t>/Annals of Psychology</w:t>
      </w:r>
      <w:r w:rsidRPr="00FC5BD1">
        <w:rPr>
          <w:rFonts w:cstheme="minorHAnsi"/>
          <w:color w:val="222222"/>
          <w:shd w:val="clear" w:color="auto" w:fill="FFFFFF"/>
        </w:rPr>
        <w:t>, </w:t>
      </w:r>
      <w:r w:rsidRPr="00FC5BD1">
        <w:rPr>
          <w:rFonts w:cstheme="minorHAnsi"/>
          <w:i/>
          <w:iCs/>
          <w:color w:val="222222"/>
          <w:shd w:val="clear" w:color="auto" w:fill="FFFFFF"/>
        </w:rPr>
        <w:t>27</w:t>
      </w:r>
      <w:r w:rsidRPr="00FC5BD1">
        <w:rPr>
          <w:rFonts w:cstheme="minorHAnsi"/>
          <w:color w:val="222222"/>
          <w:shd w:val="clear" w:color="auto" w:fill="FFFFFF"/>
        </w:rPr>
        <w:t xml:space="preserve">(2), 550-561. Retrieve from </w:t>
      </w:r>
      <w:hyperlink r:id="rId20" w:history="1">
        <w:r w:rsidR="00410A4E" w:rsidRPr="00FC5BD1">
          <w:rPr>
            <w:rStyle w:val="Hipervnculo"/>
            <w:rFonts w:cstheme="minorHAnsi"/>
            <w:shd w:val="clear" w:color="auto" w:fill="FFFFFF"/>
          </w:rPr>
          <w:t>https://revistas.um.es/analesps/article/view/123201</w:t>
        </w:r>
      </w:hyperlink>
    </w:p>
    <w:p w14:paraId="1C14A148" w14:textId="0075418F" w:rsidR="00225B46" w:rsidRPr="00FC5BD1" w:rsidRDefault="00225B46" w:rsidP="004E44A1">
      <w:pPr>
        <w:spacing w:after="240"/>
        <w:ind w:left="851" w:hanging="851"/>
        <w:jc w:val="both"/>
        <w:rPr>
          <w:rFonts w:cstheme="minorHAnsi"/>
        </w:rPr>
      </w:pPr>
      <w:r w:rsidRPr="00FC5BD1">
        <w:rPr>
          <w:rFonts w:cstheme="minorHAnsi"/>
        </w:rPr>
        <w:t xml:space="preserve">Bamberg, S., &amp; </w:t>
      </w:r>
      <w:proofErr w:type="spellStart"/>
      <w:r w:rsidRPr="00FC5BD1">
        <w:rPr>
          <w:rFonts w:cstheme="minorHAnsi"/>
        </w:rPr>
        <w:t>Möser</w:t>
      </w:r>
      <w:proofErr w:type="spellEnd"/>
      <w:r w:rsidRPr="00FC5BD1">
        <w:rPr>
          <w:rFonts w:cstheme="minorHAnsi"/>
        </w:rPr>
        <w:t xml:space="preserve">, G. (2007). Twenty years after Hines, Hungerford, and Tomera: A new meta-analysis of psycho-social determinants of pro-environmental </w:t>
      </w:r>
      <w:proofErr w:type="spellStart"/>
      <w:r w:rsidRPr="00FC5BD1">
        <w:rPr>
          <w:rFonts w:cstheme="minorHAnsi"/>
        </w:rPr>
        <w:t>behaviour</w:t>
      </w:r>
      <w:proofErr w:type="spellEnd"/>
      <w:r w:rsidRPr="00FC5BD1">
        <w:rPr>
          <w:rFonts w:cstheme="minorHAnsi"/>
        </w:rPr>
        <w:t xml:space="preserve">. </w:t>
      </w:r>
      <w:r w:rsidRPr="00FC5BD1">
        <w:rPr>
          <w:rFonts w:cstheme="minorHAnsi"/>
          <w:i/>
          <w:iCs/>
        </w:rPr>
        <w:lastRenderedPageBreak/>
        <w:t xml:space="preserve">Journal of </w:t>
      </w:r>
      <w:proofErr w:type="gramStart"/>
      <w:r w:rsidRPr="00FC5BD1">
        <w:rPr>
          <w:rFonts w:cstheme="minorHAnsi"/>
          <w:i/>
          <w:iCs/>
        </w:rPr>
        <w:t>environmental psychology</w:t>
      </w:r>
      <w:proofErr w:type="gramEnd"/>
      <w:r w:rsidRPr="00FC5BD1">
        <w:rPr>
          <w:rFonts w:cstheme="minorHAnsi"/>
        </w:rPr>
        <w:t xml:space="preserve">, 27(1), 14-25. </w:t>
      </w:r>
      <w:hyperlink r:id="rId21" w:history="1">
        <w:r w:rsidR="00410A4E" w:rsidRPr="00FC5BD1">
          <w:rPr>
            <w:rStyle w:val="Hipervnculo"/>
            <w:rFonts w:cstheme="minorHAnsi"/>
          </w:rPr>
          <w:t>https://doi.org/10.1016/j.jenvp.2006.12.002</w:t>
        </w:r>
      </w:hyperlink>
    </w:p>
    <w:p w14:paraId="5E7C0499" w14:textId="77777777" w:rsidR="00225B46" w:rsidRPr="00FC5BD1" w:rsidRDefault="00225B46" w:rsidP="004E44A1">
      <w:pPr>
        <w:spacing w:after="240"/>
        <w:ind w:left="851" w:hanging="851"/>
        <w:jc w:val="both"/>
        <w:rPr>
          <w:rFonts w:cstheme="minorHAnsi"/>
        </w:rPr>
      </w:pPr>
      <w:r w:rsidRPr="00FC5BD1">
        <w:rPr>
          <w:rFonts w:cstheme="minorHAnsi"/>
        </w:rPr>
        <w:t>Castellini, G., Savarese, M., &amp; Graffigna, G. (2021). The impact of COVID-19 outbreak in Italy on the sustainable food consumption intention from a “one health” perspective. </w:t>
      </w:r>
      <w:r w:rsidRPr="00FC5BD1">
        <w:rPr>
          <w:rFonts w:cstheme="minorHAnsi"/>
          <w:i/>
          <w:iCs/>
        </w:rPr>
        <w:t>Frontiers in Nutrition</w:t>
      </w:r>
      <w:r w:rsidRPr="00FC5BD1">
        <w:rPr>
          <w:rFonts w:cstheme="minorHAnsi"/>
        </w:rPr>
        <w:t xml:space="preserve">, 90. </w:t>
      </w:r>
      <w:hyperlink r:id="rId22" w:history="1">
        <w:r w:rsidRPr="00FC5BD1">
          <w:rPr>
            <w:rStyle w:val="Hipervnculo"/>
            <w:rFonts w:cstheme="minorHAnsi"/>
          </w:rPr>
          <w:t>https://doi.org/10.3389/fnut.2021.622122</w:t>
        </w:r>
      </w:hyperlink>
      <w:r w:rsidRPr="00FC5BD1">
        <w:rPr>
          <w:rFonts w:cstheme="minorHAnsi"/>
        </w:rPr>
        <w:t xml:space="preserve"> </w:t>
      </w:r>
    </w:p>
    <w:p w14:paraId="56C93952" w14:textId="2BD70B9D" w:rsidR="00225B46" w:rsidRPr="0064655D" w:rsidRDefault="00225B46" w:rsidP="004E44A1">
      <w:pPr>
        <w:spacing w:after="240"/>
        <w:ind w:left="851" w:hanging="851"/>
        <w:jc w:val="both"/>
        <w:rPr>
          <w:rFonts w:cstheme="minorHAnsi"/>
          <w:lang w:val="es-CR"/>
        </w:rPr>
      </w:pPr>
      <w:r w:rsidRPr="00FC5BD1">
        <w:rPr>
          <w:rFonts w:cstheme="minorHAnsi"/>
        </w:rPr>
        <w:t xml:space="preserve">Cerem Business School. </w:t>
      </w:r>
      <w:r w:rsidRPr="0064655D">
        <w:rPr>
          <w:rFonts w:cstheme="minorHAnsi"/>
          <w:lang w:val="es-CR"/>
        </w:rPr>
        <w:t xml:space="preserve">(2020, 26 mayo). </w:t>
      </w:r>
      <w:r w:rsidRPr="0064655D">
        <w:rPr>
          <w:rFonts w:cstheme="minorHAnsi"/>
          <w:i/>
          <w:iCs/>
          <w:lang w:val="es-CR"/>
        </w:rPr>
        <w:t>La generación Z: ¿cuáles son sus características más destacadas?</w:t>
      </w:r>
      <w:r w:rsidRPr="0064655D">
        <w:rPr>
          <w:rFonts w:cstheme="minorHAnsi"/>
          <w:lang w:val="es-CR"/>
        </w:rPr>
        <w:t xml:space="preserve"> </w:t>
      </w:r>
      <w:proofErr w:type="spellStart"/>
      <w:r w:rsidRPr="0064655D">
        <w:rPr>
          <w:rFonts w:cstheme="minorHAnsi"/>
          <w:lang w:val="es-CR"/>
        </w:rPr>
        <w:t>Cerem</w:t>
      </w:r>
      <w:proofErr w:type="spellEnd"/>
      <w:r w:rsidRPr="0064655D">
        <w:rPr>
          <w:rFonts w:cstheme="minorHAnsi"/>
          <w:lang w:val="es-CR"/>
        </w:rPr>
        <w:t xml:space="preserve"> International Business </w:t>
      </w:r>
      <w:proofErr w:type="spellStart"/>
      <w:r w:rsidRPr="0064655D">
        <w:rPr>
          <w:rFonts w:cstheme="minorHAnsi"/>
          <w:lang w:val="es-CR"/>
        </w:rPr>
        <w:t>School</w:t>
      </w:r>
      <w:proofErr w:type="spellEnd"/>
      <w:r w:rsidRPr="0064655D">
        <w:rPr>
          <w:rFonts w:cstheme="minorHAnsi"/>
          <w:lang w:val="es-CR"/>
        </w:rPr>
        <w:t xml:space="preserve">. Recuperado 25 de febrero de 2023, de </w:t>
      </w:r>
      <w:hyperlink r:id="rId23" w:history="1">
        <w:r w:rsidR="00410A4E" w:rsidRPr="0064655D">
          <w:rPr>
            <w:rStyle w:val="Hipervnculo"/>
            <w:rFonts w:cstheme="minorHAnsi"/>
            <w:lang w:val="es-CR"/>
          </w:rPr>
          <w:t>https://www.cerem.mx/blog/cuales-son-las-caracteristicas-de-los-usuarios-de-la-generacion-z</w:t>
        </w:r>
      </w:hyperlink>
    </w:p>
    <w:p w14:paraId="00A8F388" w14:textId="37767EF5" w:rsidR="00225B46" w:rsidRPr="00FC5BD1" w:rsidRDefault="00225B46" w:rsidP="004E44A1">
      <w:pPr>
        <w:spacing w:after="240"/>
        <w:ind w:left="851" w:hanging="851"/>
        <w:jc w:val="both"/>
        <w:rPr>
          <w:rFonts w:cstheme="minorHAnsi"/>
        </w:rPr>
      </w:pPr>
      <w:r w:rsidRPr="00FC5BD1">
        <w:rPr>
          <w:rFonts w:cstheme="minorHAnsi"/>
        </w:rPr>
        <w:t>Coffin, A. W. (2007). From roadkill to road ecology: a review of the ecological effects of roads. </w:t>
      </w:r>
      <w:r w:rsidRPr="00FC5BD1">
        <w:rPr>
          <w:rFonts w:cstheme="minorHAnsi"/>
          <w:i/>
          <w:iCs/>
        </w:rPr>
        <w:t>Journal of transport Geography</w:t>
      </w:r>
      <w:r w:rsidRPr="00FC5BD1">
        <w:rPr>
          <w:rFonts w:cstheme="minorHAnsi"/>
        </w:rPr>
        <w:t>, </w:t>
      </w:r>
      <w:r w:rsidRPr="00FC5BD1">
        <w:rPr>
          <w:rFonts w:cstheme="minorHAnsi"/>
          <w:i/>
          <w:iCs/>
        </w:rPr>
        <w:t>15</w:t>
      </w:r>
      <w:r w:rsidRPr="00FC5BD1">
        <w:rPr>
          <w:rFonts w:cstheme="minorHAnsi"/>
        </w:rPr>
        <w:t xml:space="preserve">(5), 396-406. </w:t>
      </w:r>
      <w:hyperlink r:id="rId24" w:history="1">
        <w:r w:rsidR="00410A4E" w:rsidRPr="00FC5BD1">
          <w:rPr>
            <w:rStyle w:val="Hipervnculo"/>
            <w:rFonts w:cstheme="minorHAnsi"/>
          </w:rPr>
          <w:t>https://doi.org/10.1016/j.jtrangeo.2006.11.006</w:t>
        </w:r>
      </w:hyperlink>
    </w:p>
    <w:p w14:paraId="6C935BBB" w14:textId="3AB3D1EF" w:rsidR="00225B46" w:rsidRPr="00FC5BD1" w:rsidRDefault="00225B46" w:rsidP="004E44A1">
      <w:pPr>
        <w:spacing w:after="240"/>
        <w:ind w:left="851" w:hanging="851"/>
        <w:jc w:val="both"/>
        <w:rPr>
          <w:rFonts w:cstheme="minorHAnsi"/>
        </w:rPr>
      </w:pPr>
      <w:r w:rsidRPr="00FC5BD1">
        <w:rPr>
          <w:rFonts w:cstheme="minorHAnsi"/>
        </w:rPr>
        <w:t xml:space="preserve">Cohen, M. J. (2020). Does the COVID-19 outbreak mark the onset of a sustainable consumption </w:t>
      </w:r>
      <w:proofErr w:type="gramStart"/>
      <w:r w:rsidRPr="00FC5BD1">
        <w:rPr>
          <w:rFonts w:cstheme="minorHAnsi"/>
        </w:rPr>
        <w:t>transition?.</w:t>
      </w:r>
      <w:proofErr w:type="gramEnd"/>
      <w:r w:rsidRPr="00FC5BD1">
        <w:rPr>
          <w:rFonts w:cstheme="minorHAnsi"/>
        </w:rPr>
        <w:t> </w:t>
      </w:r>
      <w:r w:rsidRPr="00FC5BD1">
        <w:rPr>
          <w:rFonts w:cstheme="minorHAnsi"/>
          <w:i/>
          <w:iCs/>
        </w:rPr>
        <w:t>Sustainability: Science, Practice and Policy</w:t>
      </w:r>
      <w:r w:rsidRPr="00FC5BD1">
        <w:rPr>
          <w:rFonts w:cstheme="minorHAnsi"/>
        </w:rPr>
        <w:t>, </w:t>
      </w:r>
      <w:r w:rsidRPr="00FC5BD1">
        <w:rPr>
          <w:rFonts w:cstheme="minorHAnsi"/>
          <w:i/>
          <w:iCs/>
        </w:rPr>
        <w:t>16</w:t>
      </w:r>
      <w:r w:rsidRPr="00FC5BD1">
        <w:rPr>
          <w:rFonts w:cstheme="minorHAnsi"/>
        </w:rPr>
        <w:t xml:space="preserve">(1), 1-3. </w:t>
      </w:r>
      <w:hyperlink r:id="rId25" w:history="1">
        <w:r w:rsidR="00410A4E" w:rsidRPr="00FC5BD1">
          <w:rPr>
            <w:rStyle w:val="Hipervnculo"/>
            <w:rFonts w:cstheme="minorHAnsi"/>
          </w:rPr>
          <w:t>https://doi.org/10.1080/15487733.2020.1740472</w:t>
        </w:r>
      </w:hyperlink>
    </w:p>
    <w:p w14:paraId="02B6BFF2" w14:textId="0305F034" w:rsidR="00410A4E" w:rsidRPr="00FC5BD1" w:rsidRDefault="00225B46" w:rsidP="00410A4E">
      <w:pPr>
        <w:spacing w:after="240"/>
        <w:ind w:left="851" w:hanging="851"/>
        <w:jc w:val="both"/>
        <w:rPr>
          <w:rFonts w:cstheme="minorHAnsi"/>
        </w:rPr>
      </w:pPr>
      <w:r w:rsidRPr="00FC5BD1">
        <w:rPr>
          <w:rFonts w:cstheme="minorHAnsi"/>
        </w:rPr>
        <w:t>Dabija, D. C., Bejan, B. M., &amp; Dinu, V. (2019). How sustainability oriented is Generation Z in retail? A literature review. Transformations in Business &amp; Economics, 18(2).</w:t>
      </w:r>
      <w:r w:rsidR="00410A4E" w:rsidRPr="00FC5BD1">
        <w:rPr>
          <w:rFonts w:cstheme="minorHAnsi"/>
        </w:rPr>
        <w:t xml:space="preserve"> </w:t>
      </w:r>
      <w:hyperlink r:id="rId26" w:history="1">
        <w:r w:rsidR="00410A4E" w:rsidRPr="00FC5BD1">
          <w:rPr>
            <w:rStyle w:val="Hipervnculo"/>
            <w:rFonts w:cstheme="minorHAnsi"/>
          </w:rPr>
          <w:t>http://www.transformations.knf.vu.lt/47/article/hows</w:t>
        </w:r>
      </w:hyperlink>
    </w:p>
    <w:p w14:paraId="7B6EC313" w14:textId="38608BBA" w:rsidR="00225B46" w:rsidRPr="00FC5BD1" w:rsidRDefault="00225B46" w:rsidP="004E44A1">
      <w:pPr>
        <w:spacing w:after="240"/>
        <w:ind w:left="851" w:hanging="851"/>
        <w:jc w:val="both"/>
        <w:rPr>
          <w:rFonts w:cstheme="minorHAnsi"/>
        </w:rPr>
      </w:pPr>
      <w:proofErr w:type="spellStart"/>
      <w:r w:rsidRPr="0064655D">
        <w:rPr>
          <w:rFonts w:cstheme="minorHAnsi"/>
          <w:lang w:val="es-CR"/>
        </w:rPr>
        <w:t>Dabija</w:t>
      </w:r>
      <w:proofErr w:type="spellEnd"/>
      <w:r w:rsidRPr="0064655D">
        <w:rPr>
          <w:rFonts w:cstheme="minorHAnsi"/>
          <w:lang w:val="es-CR"/>
        </w:rPr>
        <w:t xml:space="preserve">, D. C., </w:t>
      </w:r>
      <w:proofErr w:type="spellStart"/>
      <w:r w:rsidRPr="0064655D">
        <w:rPr>
          <w:rFonts w:cstheme="minorHAnsi"/>
          <w:lang w:val="es-CR"/>
        </w:rPr>
        <w:t>Bejan</w:t>
      </w:r>
      <w:proofErr w:type="spellEnd"/>
      <w:r w:rsidRPr="0064655D">
        <w:rPr>
          <w:rFonts w:cstheme="minorHAnsi"/>
          <w:lang w:val="es-CR"/>
        </w:rPr>
        <w:t xml:space="preserve">, B. M., &amp; </w:t>
      </w:r>
      <w:proofErr w:type="spellStart"/>
      <w:r w:rsidRPr="0064655D">
        <w:rPr>
          <w:rFonts w:cstheme="minorHAnsi"/>
          <w:lang w:val="es-CR"/>
        </w:rPr>
        <w:t>Pușcaș</w:t>
      </w:r>
      <w:proofErr w:type="spellEnd"/>
      <w:r w:rsidRPr="0064655D">
        <w:rPr>
          <w:rFonts w:cstheme="minorHAnsi"/>
          <w:lang w:val="es-CR"/>
        </w:rPr>
        <w:t xml:space="preserve">, C. (2020). </w:t>
      </w:r>
      <w:r w:rsidRPr="00FC5BD1">
        <w:rPr>
          <w:rFonts w:cstheme="minorHAnsi"/>
        </w:rPr>
        <w:t xml:space="preserve">A qualitative approach to the sustainable orientation of generation z in retail: The case of Romania. </w:t>
      </w:r>
      <w:r w:rsidRPr="00FC5BD1">
        <w:rPr>
          <w:rFonts w:cstheme="minorHAnsi"/>
          <w:i/>
          <w:iCs/>
        </w:rPr>
        <w:t>Journal of Risk and Financial Management, 13</w:t>
      </w:r>
      <w:r w:rsidRPr="00FC5BD1">
        <w:rPr>
          <w:rFonts w:cstheme="minorHAnsi"/>
        </w:rPr>
        <w:t xml:space="preserve">(7), 152. </w:t>
      </w:r>
      <w:hyperlink r:id="rId27" w:history="1">
        <w:r w:rsidR="00410A4E" w:rsidRPr="00FC5BD1">
          <w:rPr>
            <w:rStyle w:val="Hipervnculo"/>
            <w:rFonts w:cstheme="minorHAnsi"/>
          </w:rPr>
          <w:t>https://doi.org/10.3390/jrfm13070152</w:t>
        </w:r>
      </w:hyperlink>
    </w:p>
    <w:p w14:paraId="633EA2C4" w14:textId="65BA38F2" w:rsidR="00225B46" w:rsidRPr="00FC5BD1" w:rsidRDefault="00225B46" w:rsidP="004E44A1">
      <w:pPr>
        <w:spacing w:after="240"/>
        <w:ind w:left="851" w:hanging="851"/>
        <w:jc w:val="both"/>
        <w:rPr>
          <w:rFonts w:cstheme="minorHAnsi"/>
        </w:rPr>
      </w:pPr>
      <w:r w:rsidRPr="00FC5BD1">
        <w:rPr>
          <w:rFonts w:cstheme="minorHAnsi"/>
        </w:rPr>
        <w:t xml:space="preserve">Dolot, A. (2018). The characteristics of Generation Z. </w:t>
      </w:r>
      <w:r w:rsidRPr="00FC5BD1">
        <w:rPr>
          <w:rFonts w:cstheme="minorHAnsi"/>
          <w:i/>
          <w:iCs/>
        </w:rPr>
        <w:t>E-mentor, 74</w:t>
      </w:r>
      <w:r w:rsidRPr="00FC5BD1">
        <w:rPr>
          <w:rFonts w:cstheme="minorHAnsi"/>
        </w:rPr>
        <w:t xml:space="preserve">(2), 44-50. </w:t>
      </w:r>
      <w:hyperlink r:id="rId28" w:history="1">
        <w:r w:rsidR="00410A4E" w:rsidRPr="00FC5BD1">
          <w:rPr>
            <w:rStyle w:val="Hipervnculo"/>
            <w:rFonts w:cstheme="minorHAnsi"/>
          </w:rPr>
          <w:t>http://dx.doi.org/10.15219/em74.1351</w:t>
        </w:r>
      </w:hyperlink>
      <w:r w:rsidRPr="00FC5BD1">
        <w:rPr>
          <w:rFonts w:cstheme="minorHAnsi"/>
        </w:rPr>
        <w:t>.</w:t>
      </w:r>
    </w:p>
    <w:p w14:paraId="74F72493" w14:textId="77777777" w:rsidR="00225B46" w:rsidRPr="00FC5BD1" w:rsidRDefault="00225B46" w:rsidP="004E44A1">
      <w:pPr>
        <w:spacing w:after="240"/>
        <w:ind w:left="851" w:hanging="851"/>
        <w:jc w:val="both"/>
        <w:rPr>
          <w:rFonts w:cstheme="minorHAnsi"/>
        </w:rPr>
      </w:pPr>
      <w:r w:rsidRPr="0064655D">
        <w:rPr>
          <w:rFonts w:cstheme="minorHAnsi"/>
          <w:lang w:val="de-DE"/>
        </w:rPr>
        <w:t xml:space="preserve">Fang, Y., Côté, R. P., &amp; Qin, R. (2007). </w:t>
      </w:r>
      <w:r w:rsidRPr="00FC5BD1">
        <w:rPr>
          <w:rFonts w:cstheme="minorHAnsi"/>
        </w:rPr>
        <w:t>Industrial sustainability in China: Practice and prospects for eco-industrial development. </w:t>
      </w:r>
      <w:r w:rsidRPr="00FC5BD1">
        <w:rPr>
          <w:rFonts w:cstheme="minorHAnsi"/>
          <w:i/>
          <w:iCs/>
        </w:rPr>
        <w:t xml:space="preserve">Journal of </w:t>
      </w:r>
      <w:proofErr w:type="gramStart"/>
      <w:r w:rsidRPr="00FC5BD1">
        <w:rPr>
          <w:rFonts w:cstheme="minorHAnsi"/>
          <w:i/>
          <w:iCs/>
        </w:rPr>
        <w:t>environmental management</w:t>
      </w:r>
      <w:proofErr w:type="gramEnd"/>
      <w:r w:rsidRPr="00FC5BD1">
        <w:rPr>
          <w:rFonts w:cstheme="minorHAnsi"/>
        </w:rPr>
        <w:t>, </w:t>
      </w:r>
      <w:r w:rsidRPr="00FC5BD1">
        <w:rPr>
          <w:rFonts w:cstheme="minorHAnsi"/>
          <w:i/>
          <w:iCs/>
        </w:rPr>
        <w:t>83</w:t>
      </w:r>
      <w:r w:rsidRPr="00FC5BD1">
        <w:rPr>
          <w:rFonts w:cstheme="minorHAnsi"/>
        </w:rPr>
        <w:t xml:space="preserve">(3), 315-328. </w:t>
      </w:r>
      <w:hyperlink r:id="rId29" w:tgtFrame="_blank" w:tooltip="Persistent link using digital object identifier" w:history="1">
        <w:r w:rsidRPr="00FC5BD1">
          <w:rPr>
            <w:rStyle w:val="Hipervnculo"/>
            <w:rFonts w:cstheme="minorHAnsi"/>
          </w:rPr>
          <w:t>https://doi.org/10.1016/j.jenvman.2006.03.007</w:t>
        </w:r>
      </w:hyperlink>
    </w:p>
    <w:p w14:paraId="48430068" w14:textId="77777777" w:rsidR="00225B46" w:rsidRPr="00FC5BD1" w:rsidRDefault="00225B46" w:rsidP="004E44A1">
      <w:pPr>
        <w:spacing w:after="240"/>
        <w:ind w:left="851" w:hanging="851"/>
        <w:jc w:val="both"/>
        <w:rPr>
          <w:rFonts w:cstheme="minorHAnsi"/>
        </w:rPr>
      </w:pPr>
      <w:r w:rsidRPr="00FC5BD1">
        <w:rPr>
          <w:rFonts w:cstheme="minorHAnsi"/>
        </w:rPr>
        <w:t xml:space="preserve">González, C., </w:t>
      </w:r>
      <w:proofErr w:type="spellStart"/>
      <w:r w:rsidRPr="00FC5BD1">
        <w:rPr>
          <w:rFonts w:cstheme="minorHAnsi"/>
        </w:rPr>
        <w:t>Korchia</w:t>
      </w:r>
      <w:proofErr w:type="spellEnd"/>
      <w:r w:rsidRPr="00FC5BD1">
        <w:rPr>
          <w:rFonts w:cstheme="minorHAnsi"/>
        </w:rPr>
        <w:t xml:space="preserve">, M., Menuet, L. y Urbain, C. (2009). How do socially responsible consumers consider consumption? An approach with the free association method. </w:t>
      </w:r>
      <w:r w:rsidRPr="00FC5BD1">
        <w:rPr>
          <w:rFonts w:cstheme="minorHAnsi"/>
          <w:i/>
          <w:iCs/>
        </w:rPr>
        <w:t xml:space="preserve">Recherche et Applications </w:t>
      </w:r>
      <w:proofErr w:type="spellStart"/>
      <w:r w:rsidRPr="00FC5BD1">
        <w:rPr>
          <w:rFonts w:cstheme="minorHAnsi"/>
          <w:i/>
          <w:iCs/>
        </w:rPr>
        <w:t>en</w:t>
      </w:r>
      <w:proofErr w:type="spellEnd"/>
      <w:r w:rsidRPr="00FC5BD1">
        <w:rPr>
          <w:rFonts w:cstheme="minorHAnsi"/>
          <w:i/>
          <w:iCs/>
        </w:rPr>
        <w:t xml:space="preserve"> Marketing (English Edition), 24</w:t>
      </w:r>
      <w:r w:rsidRPr="00FC5BD1">
        <w:rPr>
          <w:rFonts w:cstheme="minorHAnsi"/>
        </w:rPr>
        <w:t xml:space="preserve">(3), 25-41. </w:t>
      </w:r>
      <w:hyperlink r:id="rId30" w:history="1">
        <w:r w:rsidRPr="00FC5BD1">
          <w:rPr>
            <w:rStyle w:val="Hipervnculo"/>
            <w:rFonts w:cstheme="minorHAnsi"/>
          </w:rPr>
          <w:t>https://doi.org/10.1177/2051570709024003</w:t>
        </w:r>
      </w:hyperlink>
    </w:p>
    <w:p w14:paraId="4771D724" w14:textId="2CD640FE" w:rsidR="00103B11" w:rsidRPr="00FC5BD1" w:rsidRDefault="00103B11" w:rsidP="004E44A1">
      <w:pPr>
        <w:spacing w:after="240"/>
        <w:ind w:left="851" w:hanging="851"/>
        <w:jc w:val="both"/>
        <w:rPr>
          <w:rFonts w:cstheme="minorHAnsi"/>
        </w:rPr>
      </w:pPr>
      <w:r w:rsidRPr="00FC5BD1">
        <w:rPr>
          <w:rFonts w:cstheme="minorHAnsi"/>
        </w:rPr>
        <w:t xml:space="preserve">Govindan, K., &amp; </w:t>
      </w:r>
      <w:proofErr w:type="spellStart"/>
      <w:r w:rsidRPr="00FC5BD1">
        <w:rPr>
          <w:rFonts w:cstheme="minorHAnsi"/>
        </w:rPr>
        <w:t>Hasanagic</w:t>
      </w:r>
      <w:proofErr w:type="spellEnd"/>
      <w:r w:rsidRPr="00FC5BD1">
        <w:rPr>
          <w:rFonts w:cstheme="minorHAnsi"/>
        </w:rPr>
        <w:t>, M. (2018). A systematic review on drivers, barriers, and practices towards circular economy: a supply chain perspective. </w:t>
      </w:r>
      <w:r w:rsidRPr="00FC5BD1">
        <w:rPr>
          <w:rFonts w:cstheme="minorHAnsi"/>
          <w:i/>
          <w:iCs/>
        </w:rPr>
        <w:t xml:space="preserve">International Journal of </w:t>
      </w:r>
      <w:r w:rsidRPr="00FC5BD1">
        <w:rPr>
          <w:rFonts w:cstheme="minorHAnsi"/>
          <w:i/>
          <w:iCs/>
        </w:rPr>
        <w:lastRenderedPageBreak/>
        <w:t>Production Research</w:t>
      </w:r>
      <w:r w:rsidRPr="00FC5BD1">
        <w:rPr>
          <w:rFonts w:cstheme="minorHAnsi"/>
        </w:rPr>
        <w:t>, </w:t>
      </w:r>
      <w:r w:rsidRPr="00FC5BD1">
        <w:rPr>
          <w:rFonts w:cstheme="minorHAnsi"/>
          <w:i/>
          <w:iCs/>
        </w:rPr>
        <w:t>56</w:t>
      </w:r>
      <w:r w:rsidRPr="00FC5BD1">
        <w:rPr>
          <w:rFonts w:cstheme="minorHAnsi"/>
        </w:rPr>
        <w:t>(1-2), 278-311.</w:t>
      </w:r>
      <w:r w:rsidR="00C81F00" w:rsidRPr="00FC5BD1">
        <w:rPr>
          <w:rFonts w:cstheme="minorHAnsi"/>
        </w:rPr>
        <w:t xml:space="preserve"> </w:t>
      </w:r>
      <w:hyperlink r:id="rId31" w:history="1">
        <w:r w:rsidR="00C81F00" w:rsidRPr="00FC5BD1">
          <w:rPr>
            <w:rStyle w:val="Hipervnculo"/>
            <w:rFonts w:cstheme="minorHAnsi"/>
          </w:rPr>
          <w:t>https://doi.org/10.1016/j.jclepro.2018.03.040</w:t>
        </w:r>
      </w:hyperlink>
    </w:p>
    <w:p w14:paraId="4D7369ED" w14:textId="4E8B78FE" w:rsidR="00225B46" w:rsidRPr="0064655D" w:rsidRDefault="00225B46" w:rsidP="004E44A1">
      <w:pPr>
        <w:spacing w:after="240"/>
        <w:ind w:left="851" w:hanging="851"/>
        <w:jc w:val="both"/>
        <w:rPr>
          <w:rFonts w:cstheme="minorHAnsi"/>
          <w:lang w:val="es-CR"/>
        </w:rPr>
      </w:pPr>
      <w:proofErr w:type="spellStart"/>
      <w:r w:rsidRPr="0064655D">
        <w:rPr>
          <w:rFonts w:cstheme="minorHAnsi"/>
          <w:lang w:val="es-CR"/>
        </w:rPr>
        <w:t>Hair</w:t>
      </w:r>
      <w:proofErr w:type="spellEnd"/>
      <w:r w:rsidRPr="0064655D">
        <w:rPr>
          <w:rFonts w:cstheme="minorHAnsi"/>
          <w:lang w:val="es-CR"/>
        </w:rPr>
        <w:t xml:space="preserve"> J., Prentice, E. y Cano, D. (1999). </w:t>
      </w:r>
      <w:r w:rsidRPr="0064655D">
        <w:rPr>
          <w:rFonts w:cstheme="minorHAnsi"/>
          <w:i/>
          <w:iCs/>
          <w:lang w:val="es-CR"/>
        </w:rPr>
        <w:t>Análisis Multivariante</w:t>
      </w:r>
      <w:r w:rsidRPr="0064655D">
        <w:rPr>
          <w:rFonts w:cstheme="minorHAnsi"/>
          <w:lang w:val="es-CR"/>
        </w:rPr>
        <w:t xml:space="preserve">. México: Pearson </w:t>
      </w:r>
      <w:proofErr w:type="spellStart"/>
      <w:r w:rsidRPr="0064655D">
        <w:rPr>
          <w:rFonts w:cstheme="minorHAnsi"/>
          <w:lang w:val="es-CR"/>
        </w:rPr>
        <w:t>Education</w:t>
      </w:r>
      <w:proofErr w:type="spellEnd"/>
      <w:r w:rsidRPr="0064655D">
        <w:rPr>
          <w:rFonts w:cstheme="minorHAnsi"/>
          <w:lang w:val="es-CR"/>
        </w:rPr>
        <w:t>.</w:t>
      </w:r>
    </w:p>
    <w:p w14:paraId="6D7E5451" w14:textId="2A74A7E8" w:rsidR="00C81F00" w:rsidRPr="00FC5BD1" w:rsidRDefault="00AB7E9C" w:rsidP="00EA7904">
      <w:pPr>
        <w:spacing w:after="240"/>
        <w:ind w:left="851" w:hanging="851"/>
        <w:jc w:val="both"/>
        <w:rPr>
          <w:rFonts w:cstheme="minorHAnsi"/>
        </w:rPr>
      </w:pPr>
      <w:r w:rsidRPr="0064655D">
        <w:rPr>
          <w:rFonts w:cstheme="minorHAnsi"/>
          <w:lang w:val="es-CR"/>
        </w:rPr>
        <w:t xml:space="preserve">Han, T. I., &amp; </w:t>
      </w:r>
      <w:proofErr w:type="spellStart"/>
      <w:r w:rsidRPr="0064655D">
        <w:rPr>
          <w:rFonts w:cstheme="minorHAnsi"/>
          <w:lang w:val="es-CR"/>
        </w:rPr>
        <w:t>Stoel</w:t>
      </w:r>
      <w:proofErr w:type="spellEnd"/>
      <w:r w:rsidRPr="0064655D">
        <w:rPr>
          <w:rFonts w:cstheme="minorHAnsi"/>
          <w:lang w:val="es-CR"/>
        </w:rPr>
        <w:t xml:space="preserve">, L. (2017). </w:t>
      </w:r>
      <w:r w:rsidRPr="00FC5BD1">
        <w:rPr>
          <w:rFonts w:cstheme="minorHAnsi"/>
        </w:rPr>
        <w:t xml:space="preserve">Explaining socially responsible consumer behavior: A meta-analytic review of theory of planned behavior. </w:t>
      </w:r>
      <w:r w:rsidRPr="00FC5BD1">
        <w:rPr>
          <w:rFonts w:cstheme="minorHAnsi"/>
          <w:i/>
          <w:iCs/>
        </w:rPr>
        <w:t>Journal of International Consumer Marketing, 29</w:t>
      </w:r>
      <w:r w:rsidRPr="00FC5BD1">
        <w:rPr>
          <w:rFonts w:cstheme="minorHAnsi"/>
        </w:rPr>
        <w:t>(2), 91–103.</w:t>
      </w:r>
      <w:r w:rsidR="00C81F00" w:rsidRPr="00FC5BD1">
        <w:rPr>
          <w:rFonts w:cstheme="minorHAnsi"/>
        </w:rPr>
        <w:t xml:space="preserve"> </w:t>
      </w:r>
      <w:hyperlink r:id="rId32" w:history="1">
        <w:r w:rsidR="00C81F00" w:rsidRPr="00FC5BD1">
          <w:rPr>
            <w:rStyle w:val="Hipervnculo"/>
            <w:rFonts w:cstheme="minorHAnsi"/>
          </w:rPr>
          <w:t>https://doi.org/10.1080/08961530.2016.1251870</w:t>
        </w:r>
      </w:hyperlink>
    </w:p>
    <w:p w14:paraId="5FB38243" w14:textId="46067F49" w:rsidR="00225B46" w:rsidRPr="00FC5BD1" w:rsidRDefault="00225B46" w:rsidP="004E44A1">
      <w:pPr>
        <w:spacing w:after="240"/>
        <w:ind w:left="851" w:hanging="851"/>
        <w:jc w:val="both"/>
        <w:rPr>
          <w:rFonts w:cstheme="minorHAnsi"/>
        </w:rPr>
      </w:pPr>
      <w:r w:rsidRPr="00FC5BD1">
        <w:rPr>
          <w:rFonts w:cstheme="minorHAnsi"/>
        </w:rPr>
        <w:t xml:space="preserve">Hayes, A. F. (2018). Partial, conditional, and moderated </w:t>
      </w:r>
      <w:proofErr w:type="spellStart"/>
      <w:proofErr w:type="gramStart"/>
      <w:r w:rsidRPr="00FC5BD1">
        <w:rPr>
          <w:rFonts w:cstheme="minorHAnsi"/>
        </w:rPr>
        <w:t>moderated</w:t>
      </w:r>
      <w:proofErr w:type="spellEnd"/>
      <w:proofErr w:type="gramEnd"/>
      <w:r w:rsidRPr="00FC5BD1">
        <w:rPr>
          <w:rFonts w:cstheme="minorHAnsi"/>
        </w:rPr>
        <w:t xml:space="preserve"> mediation: Quantification, inference, and interpretation. </w:t>
      </w:r>
      <w:r w:rsidRPr="00FC5BD1">
        <w:rPr>
          <w:rFonts w:cstheme="minorHAnsi"/>
          <w:i/>
          <w:iCs/>
        </w:rPr>
        <w:t>Communication monographs</w:t>
      </w:r>
      <w:r w:rsidRPr="00FC5BD1">
        <w:rPr>
          <w:rFonts w:cstheme="minorHAnsi"/>
        </w:rPr>
        <w:t>, </w:t>
      </w:r>
      <w:r w:rsidRPr="00FC5BD1">
        <w:rPr>
          <w:rFonts w:cstheme="minorHAnsi"/>
          <w:i/>
          <w:iCs/>
        </w:rPr>
        <w:t>85</w:t>
      </w:r>
      <w:r w:rsidRPr="00FC5BD1">
        <w:rPr>
          <w:rFonts w:cstheme="minorHAnsi"/>
        </w:rPr>
        <w:t xml:space="preserve">(1), 4-40. </w:t>
      </w:r>
      <w:hyperlink r:id="rId33" w:history="1">
        <w:r w:rsidR="00C81F00" w:rsidRPr="00FC5BD1">
          <w:rPr>
            <w:rStyle w:val="Hipervnculo"/>
            <w:rFonts w:cstheme="minorHAnsi"/>
          </w:rPr>
          <w:t>https://doi.org/10.1080/03637751.2017.1352100</w:t>
        </w:r>
      </w:hyperlink>
    </w:p>
    <w:p w14:paraId="04992407" w14:textId="1666FD6A" w:rsidR="00225B46" w:rsidRPr="00FC5BD1" w:rsidRDefault="00225B46" w:rsidP="004E44A1">
      <w:pPr>
        <w:spacing w:after="240"/>
        <w:ind w:left="851" w:hanging="851"/>
        <w:jc w:val="both"/>
        <w:rPr>
          <w:rFonts w:cstheme="minorHAnsi"/>
        </w:rPr>
      </w:pPr>
      <w:r w:rsidRPr="00FC5BD1">
        <w:rPr>
          <w:rFonts w:cstheme="minorHAnsi"/>
        </w:rPr>
        <w:t>Hosta, M. y Zabkar, V. (2021). Antecedents of environmentally and socially responsible sustainable consumer behavior. </w:t>
      </w:r>
      <w:r w:rsidRPr="00FC5BD1">
        <w:rPr>
          <w:rFonts w:cstheme="minorHAnsi"/>
          <w:i/>
          <w:iCs/>
        </w:rPr>
        <w:t>Journal of Business Ethics</w:t>
      </w:r>
      <w:r w:rsidRPr="00FC5BD1">
        <w:rPr>
          <w:rFonts w:cstheme="minorHAnsi"/>
        </w:rPr>
        <w:t>, </w:t>
      </w:r>
      <w:r w:rsidRPr="00FC5BD1">
        <w:rPr>
          <w:rFonts w:cstheme="minorHAnsi"/>
          <w:i/>
          <w:iCs/>
        </w:rPr>
        <w:t>171</w:t>
      </w:r>
      <w:r w:rsidRPr="00FC5BD1">
        <w:rPr>
          <w:rFonts w:cstheme="minorHAnsi"/>
        </w:rPr>
        <w:t xml:space="preserve">(2), 273-293. </w:t>
      </w:r>
      <w:hyperlink r:id="rId34" w:history="1">
        <w:r w:rsidRPr="00FC5BD1">
          <w:rPr>
            <w:rStyle w:val="Hipervnculo"/>
            <w:rFonts w:cstheme="minorHAnsi"/>
          </w:rPr>
          <w:t>https://doi.org/10.1007/s10551-019-04416-0</w:t>
        </w:r>
      </w:hyperlink>
    </w:p>
    <w:p w14:paraId="0207D24D" w14:textId="6F46E049" w:rsidR="00225B46" w:rsidRPr="00FC5BD1" w:rsidRDefault="00225B46" w:rsidP="004E44A1">
      <w:pPr>
        <w:spacing w:after="240"/>
        <w:ind w:left="851" w:hanging="851"/>
        <w:jc w:val="both"/>
        <w:rPr>
          <w:rFonts w:cstheme="minorHAnsi"/>
        </w:rPr>
      </w:pPr>
      <w:r w:rsidRPr="00FC5BD1">
        <w:rPr>
          <w:rFonts w:cstheme="minorHAnsi"/>
        </w:rPr>
        <w:t xml:space="preserve">Jackson, T. (2014). Sustainable consumption. In G. Atkinson, S. Dietz &amp; E. Neumayer. </w:t>
      </w:r>
      <w:r w:rsidRPr="00FC5BD1">
        <w:rPr>
          <w:rFonts w:cstheme="minorHAnsi"/>
          <w:i/>
          <w:iCs/>
        </w:rPr>
        <w:t>Handbook of sustainable development</w:t>
      </w:r>
      <w:r w:rsidRPr="00FC5BD1">
        <w:rPr>
          <w:rFonts w:cstheme="minorHAnsi"/>
        </w:rPr>
        <w:t xml:space="preserve"> (pp. 279-290). Northampton, USA: Edward Elgar Publishing. Available at </w:t>
      </w:r>
      <w:hyperlink r:id="rId35" w:anchor="page=271" w:history="1">
        <w:r w:rsidR="00C81F00" w:rsidRPr="00FC5BD1">
          <w:rPr>
            <w:rStyle w:val="Hipervnculo"/>
            <w:rFonts w:cstheme="minorHAnsi"/>
          </w:rPr>
          <w:t>http://ndl.ethernet.edu.et/bitstream/123456789/26586/1/40.pdf.pdf#page=271</w:t>
        </w:r>
      </w:hyperlink>
    </w:p>
    <w:p w14:paraId="011B7878" w14:textId="77777777" w:rsidR="00225B46" w:rsidRPr="00FC5BD1" w:rsidRDefault="00225B46" w:rsidP="004E44A1">
      <w:pPr>
        <w:spacing w:after="240"/>
        <w:ind w:left="851" w:hanging="851"/>
        <w:jc w:val="both"/>
        <w:rPr>
          <w:rFonts w:cstheme="minorHAnsi"/>
        </w:rPr>
      </w:pPr>
      <w:proofErr w:type="spellStart"/>
      <w:r w:rsidRPr="0064655D">
        <w:rPr>
          <w:rFonts w:cstheme="minorHAnsi"/>
          <w:lang w:val="pt-BR"/>
        </w:rPr>
        <w:t>Luthra</w:t>
      </w:r>
      <w:proofErr w:type="spellEnd"/>
      <w:r w:rsidRPr="0064655D">
        <w:rPr>
          <w:rFonts w:cstheme="minorHAnsi"/>
          <w:lang w:val="pt-BR"/>
        </w:rPr>
        <w:t xml:space="preserve">, S., </w:t>
      </w:r>
      <w:proofErr w:type="spellStart"/>
      <w:r w:rsidRPr="0064655D">
        <w:rPr>
          <w:rFonts w:cstheme="minorHAnsi"/>
          <w:lang w:val="pt-BR"/>
        </w:rPr>
        <w:t>Mangla</w:t>
      </w:r>
      <w:proofErr w:type="spellEnd"/>
      <w:r w:rsidRPr="0064655D">
        <w:rPr>
          <w:rFonts w:cstheme="minorHAnsi"/>
          <w:lang w:val="pt-BR"/>
        </w:rPr>
        <w:t xml:space="preserve">, S. K., </w:t>
      </w:r>
      <w:proofErr w:type="spellStart"/>
      <w:r w:rsidRPr="0064655D">
        <w:rPr>
          <w:rFonts w:cstheme="minorHAnsi"/>
          <w:lang w:val="pt-BR"/>
        </w:rPr>
        <w:t>Xu</w:t>
      </w:r>
      <w:proofErr w:type="spellEnd"/>
      <w:r w:rsidRPr="0064655D">
        <w:rPr>
          <w:rFonts w:cstheme="minorHAnsi"/>
          <w:lang w:val="pt-BR"/>
        </w:rPr>
        <w:t xml:space="preserve">, L., &amp; </w:t>
      </w:r>
      <w:proofErr w:type="spellStart"/>
      <w:r w:rsidRPr="0064655D">
        <w:rPr>
          <w:rFonts w:cstheme="minorHAnsi"/>
          <w:lang w:val="pt-BR"/>
        </w:rPr>
        <w:t>Diabat</w:t>
      </w:r>
      <w:proofErr w:type="spellEnd"/>
      <w:r w:rsidRPr="0064655D">
        <w:rPr>
          <w:rFonts w:cstheme="minorHAnsi"/>
          <w:lang w:val="pt-BR"/>
        </w:rPr>
        <w:t xml:space="preserve">, A. (2016). </w:t>
      </w:r>
      <w:r w:rsidRPr="00FC5BD1">
        <w:rPr>
          <w:rFonts w:cstheme="minorHAnsi"/>
        </w:rPr>
        <w:t xml:space="preserve">Using AHP to evaluate barriers in adopting sustainable consumption and production initiatives in a supply chain. </w:t>
      </w:r>
      <w:r w:rsidRPr="00FC5BD1">
        <w:rPr>
          <w:rFonts w:cstheme="minorHAnsi"/>
          <w:i/>
          <w:iCs/>
        </w:rPr>
        <w:t>International Journal of Production Economics, 181</w:t>
      </w:r>
      <w:r w:rsidRPr="00FC5BD1">
        <w:rPr>
          <w:rFonts w:cstheme="minorHAnsi"/>
        </w:rPr>
        <w:t xml:space="preserve">, 342-349. </w:t>
      </w:r>
      <w:hyperlink r:id="rId36" w:tgtFrame="_blank" w:tooltip="Persistent link using digital object identifier" w:history="1">
        <w:r w:rsidRPr="00FC5BD1">
          <w:rPr>
            <w:rStyle w:val="Hipervnculo"/>
            <w:rFonts w:cstheme="minorHAnsi"/>
          </w:rPr>
          <w:t>https://doi.org/10.1016/j.ijpe.2016.04.001</w:t>
        </w:r>
      </w:hyperlink>
    </w:p>
    <w:p w14:paraId="15E93252" w14:textId="77777777" w:rsidR="00225B46" w:rsidRPr="00FC5BD1" w:rsidRDefault="00225B46" w:rsidP="004E44A1">
      <w:pPr>
        <w:spacing w:after="240"/>
        <w:ind w:left="851" w:hanging="851"/>
        <w:jc w:val="both"/>
        <w:rPr>
          <w:rFonts w:cstheme="minorHAnsi"/>
        </w:rPr>
      </w:pPr>
      <w:r w:rsidRPr="00FC5BD1">
        <w:rPr>
          <w:rFonts w:cstheme="minorHAnsi"/>
        </w:rPr>
        <w:t>Madhav, S., Ahamad, A., Singh, P., &amp; Mishra, P. K. (2018). A review of textile industry: Wet processing, environmental impacts, and effluent treatment methods. </w:t>
      </w:r>
      <w:r w:rsidRPr="00FC5BD1">
        <w:rPr>
          <w:rFonts w:cstheme="minorHAnsi"/>
          <w:i/>
          <w:iCs/>
        </w:rPr>
        <w:t>Environmental Quality Management</w:t>
      </w:r>
      <w:r w:rsidRPr="00FC5BD1">
        <w:rPr>
          <w:rFonts w:cstheme="minorHAnsi"/>
        </w:rPr>
        <w:t>, </w:t>
      </w:r>
      <w:r w:rsidRPr="00FC5BD1">
        <w:rPr>
          <w:rFonts w:cstheme="minorHAnsi"/>
          <w:i/>
          <w:iCs/>
        </w:rPr>
        <w:t>27</w:t>
      </w:r>
      <w:r w:rsidRPr="00FC5BD1">
        <w:rPr>
          <w:rFonts w:cstheme="minorHAnsi"/>
        </w:rPr>
        <w:t xml:space="preserve">(3), 31-41. </w:t>
      </w:r>
      <w:hyperlink r:id="rId37" w:history="1">
        <w:r w:rsidRPr="00FC5BD1">
          <w:rPr>
            <w:rStyle w:val="Hipervnculo"/>
            <w:rFonts w:cstheme="minorHAnsi"/>
          </w:rPr>
          <w:t>https://doi.org/10.1002/tqem.21538</w:t>
        </w:r>
      </w:hyperlink>
    </w:p>
    <w:p w14:paraId="2E3C2A08" w14:textId="77777777" w:rsidR="00225B46" w:rsidRPr="00FC5BD1" w:rsidRDefault="00225B46" w:rsidP="004E44A1">
      <w:pPr>
        <w:spacing w:after="240"/>
        <w:ind w:left="851" w:hanging="851"/>
        <w:jc w:val="both"/>
        <w:rPr>
          <w:rFonts w:cstheme="minorHAnsi"/>
        </w:rPr>
      </w:pPr>
      <w:r w:rsidRPr="00FC5BD1">
        <w:rPr>
          <w:rFonts w:cstheme="minorHAnsi"/>
        </w:rPr>
        <w:t xml:space="preserve">Matharu, M., Jain, R., &amp; Kamboj, S. (2020). Understanding the impact of lifestyle on sustainable consumption behavior: a sharing economy perspective. </w:t>
      </w:r>
      <w:r w:rsidRPr="00FC5BD1">
        <w:rPr>
          <w:rFonts w:cstheme="minorHAnsi"/>
          <w:i/>
          <w:iCs/>
        </w:rPr>
        <w:t>Management of environmental quality: An international Journal, 32</w:t>
      </w:r>
      <w:r w:rsidRPr="00FC5BD1">
        <w:rPr>
          <w:rFonts w:cstheme="minorHAnsi"/>
        </w:rPr>
        <w:t xml:space="preserve">(1), 20-40. </w:t>
      </w:r>
      <w:hyperlink r:id="rId38" w:history="1">
        <w:r w:rsidRPr="00FC5BD1">
          <w:rPr>
            <w:rStyle w:val="Hipervnculo"/>
            <w:rFonts w:cstheme="minorHAnsi"/>
          </w:rPr>
          <w:t>https://doi.org/10.3390/su132413642</w:t>
        </w:r>
      </w:hyperlink>
    </w:p>
    <w:p w14:paraId="55254F1A" w14:textId="4EF094D2" w:rsidR="00225B46" w:rsidRPr="0064655D" w:rsidRDefault="00225B46" w:rsidP="004E44A1">
      <w:pPr>
        <w:spacing w:after="240"/>
        <w:ind w:left="851" w:hanging="851"/>
        <w:jc w:val="both"/>
        <w:rPr>
          <w:rFonts w:cstheme="minorHAnsi"/>
          <w:lang w:val="es-CR"/>
        </w:rPr>
      </w:pPr>
      <w:r w:rsidRPr="0064655D">
        <w:rPr>
          <w:rFonts w:cstheme="minorHAnsi"/>
          <w:lang w:val="es-CR"/>
        </w:rPr>
        <w:t xml:space="preserve">Peñalosa-Otero, M. E., López-Celis, D. M., Fischer-de la Vega, L. E., y Ortega-Vivanco, M. J. (2021). Consumo en los </w:t>
      </w:r>
      <w:proofErr w:type="spellStart"/>
      <w:r w:rsidRPr="0064655D">
        <w:rPr>
          <w:rFonts w:cstheme="minorHAnsi"/>
          <w:lang w:val="es-CR"/>
        </w:rPr>
        <w:t>millennials</w:t>
      </w:r>
      <w:proofErr w:type="spellEnd"/>
      <w:r w:rsidRPr="0064655D">
        <w:rPr>
          <w:rFonts w:cstheme="minorHAnsi"/>
          <w:lang w:val="es-CR"/>
        </w:rPr>
        <w:t xml:space="preserve"> en época de covid-19 en México, Ecuador y Colombia. </w:t>
      </w:r>
      <w:r w:rsidRPr="0064655D">
        <w:rPr>
          <w:rFonts w:cstheme="minorHAnsi"/>
          <w:i/>
          <w:iCs/>
          <w:lang w:val="es-CR"/>
        </w:rPr>
        <w:t>Revista Venezolana de Gerencia (RVG)</w:t>
      </w:r>
      <w:r w:rsidRPr="0064655D">
        <w:rPr>
          <w:rFonts w:cstheme="minorHAnsi"/>
          <w:lang w:val="es-CR"/>
        </w:rPr>
        <w:t>, </w:t>
      </w:r>
      <w:r w:rsidRPr="0064655D">
        <w:rPr>
          <w:rFonts w:cstheme="minorHAnsi"/>
          <w:i/>
          <w:iCs/>
          <w:lang w:val="es-CR"/>
        </w:rPr>
        <w:t>26</w:t>
      </w:r>
      <w:r w:rsidRPr="0064655D">
        <w:rPr>
          <w:rFonts w:cstheme="minorHAnsi"/>
          <w:lang w:val="es-CR"/>
        </w:rPr>
        <w:t xml:space="preserve">(96), 1380-1395. </w:t>
      </w:r>
      <w:hyperlink r:id="rId39" w:history="1">
        <w:r w:rsidR="00C81F00" w:rsidRPr="0064655D">
          <w:rPr>
            <w:rStyle w:val="Hipervnculo"/>
            <w:rFonts w:cstheme="minorHAnsi"/>
            <w:lang w:val="es-CR"/>
          </w:rPr>
          <w:t>https://doi.org/10.52080/rvgluz.26.96.24</w:t>
        </w:r>
      </w:hyperlink>
    </w:p>
    <w:p w14:paraId="13586E77" w14:textId="0B72AC41" w:rsidR="00225B46" w:rsidRPr="00FC5BD1" w:rsidRDefault="001B6EBD" w:rsidP="004E44A1">
      <w:pPr>
        <w:spacing w:after="240"/>
        <w:ind w:left="851" w:hanging="851"/>
        <w:jc w:val="both"/>
        <w:rPr>
          <w:rFonts w:cstheme="minorHAnsi"/>
        </w:rPr>
      </w:pPr>
      <w:r w:rsidRPr="0064655D">
        <w:rPr>
          <w:rFonts w:cstheme="minorHAnsi"/>
          <w:lang w:val="es-CR"/>
        </w:rPr>
        <w:lastRenderedPageBreak/>
        <w:t>Peñalosa</w:t>
      </w:r>
      <w:r w:rsidR="00225B46" w:rsidRPr="0064655D">
        <w:rPr>
          <w:rFonts w:cstheme="minorHAnsi"/>
          <w:lang w:val="es-CR"/>
        </w:rPr>
        <w:t xml:space="preserve">-Otero, M. E., López-Celis, D. M., y Martínez-Aguilar, M. F. (2020). Las actitudes medioambientales de los consumidores: análisis comparativo en las ciudades de San Luis de Potosí, México y Medellín, Colombia. </w:t>
      </w:r>
      <w:proofErr w:type="spellStart"/>
      <w:r w:rsidR="00225B46" w:rsidRPr="0064655D">
        <w:rPr>
          <w:rFonts w:cstheme="minorHAnsi"/>
          <w:lang w:val="es-CR"/>
        </w:rPr>
        <w:t>Face</w:t>
      </w:r>
      <w:proofErr w:type="spellEnd"/>
      <w:r w:rsidR="00225B46" w:rsidRPr="0064655D">
        <w:rPr>
          <w:rFonts w:cstheme="minorHAnsi"/>
          <w:lang w:val="es-CR"/>
        </w:rPr>
        <w:t xml:space="preserve">: Revista de la Facultad de Ciencias Económicas y Empresariales, 20(1), 85-96. </w:t>
      </w:r>
      <w:hyperlink r:id="rId40" w:history="1">
        <w:r w:rsidR="00225B46" w:rsidRPr="00FC5BD1">
          <w:rPr>
            <w:rStyle w:val="Hipervnculo"/>
            <w:rFonts w:cstheme="minorHAnsi"/>
          </w:rPr>
          <w:t>https://doi.org/10.24054/01204211.v1.n1.2020.468</w:t>
        </w:r>
      </w:hyperlink>
    </w:p>
    <w:p w14:paraId="429292CA" w14:textId="77777777" w:rsidR="00225B46" w:rsidRPr="00FC5BD1" w:rsidRDefault="00225B46" w:rsidP="004E44A1">
      <w:pPr>
        <w:spacing w:after="240"/>
        <w:ind w:left="851" w:hanging="851"/>
        <w:jc w:val="both"/>
        <w:rPr>
          <w:rFonts w:cstheme="minorHAnsi"/>
        </w:rPr>
      </w:pPr>
      <w:r w:rsidRPr="00FC5BD1">
        <w:rPr>
          <w:rFonts w:cstheme="minorHAnsi"/>
        </w:rPr>
        <w:t xml:space="preserve">Planeta </w:t>
      </w:r>
      <w:proofErr w:type="spellStart"/>
      <w:r w:rsidRPr="00FC5BD1">
        <w:rPr>
          <w:rFonts w:cstheme="minorHAnsi"/>
        </w:rPr>
        <w:t>Recicla</w:t>
      </w:r>
      <w:proofErr w:type="spellEnd"/>
      <w:r w:rsidRPr="00FC5BD1">
        <w:rPr>
          <w:rFonts w:cstheme="minorHAnsi"/>
        </w:rPr>
        <w:t xml:space="preserve">. (2017, 6 </w:t>
      </w:r>
      <w:proofErr w:type="spellStart"/>
      <w:r w:rsidRPr="00FC5BD1">
        <w:rPr>
          <w:rFonts w:cstheme="minorHAnsi"/>
        </w:rPr>
        <w:t>abril</w:t>
      </w:r>
      <w:proofErr w:type="spellEnd"/>
      <w:r w:rsidRPr="00FC5BD1">
        <w:rPr>
          <w:rFonts w:cstheme="minorHAnsi"/>
        </w:rPr>
        <w:t xml:space="preserve">). </w:t>
      </w:r>
      <w:proofErr w:type="spellStart"/>
      <w:r w:rsidRPr="00FC5BD1">
        <w:rPr>
          <w:rFonts w:cstheme="minorHAnsi"/>
        </w:rPr>
        <w:t>Nueve</w:t>
      </w:r>
      <w:proofErr w:type="spellEnd"/>
      <w:r w:rsidRPr="00FC5BD1">
        <w:rPr>
          <w:rFonts w:cstheme="minorHAnsi"/>
        </w:rPr>
        <w:t xml:space="preserve"> </w:t>
      </w:r>
      <w:proofErr w:type="spellStart"/>
      <w:r w:rsidRPr="00FC5BD1">
        <w:rPr>
          <w:rFonts w:cstheme="minorHAnsi"/>
        </w:rPr>
        <w:t>actividades</w:t>
      </w:r>
      <w:proofErr w:type="spellEnd"/>
      <w:r w:rsidRPr="00FC5BD1">
        <w:rPr>
          <w:rFonts w:cstheme="minorHAnsi"/>
        </w:rPr>
        <w:t xml:space="preserve"> </w:t>
      </w:r>
      <w:proofErr w:type="spellStart"/>
      <w:r w:rsidRPr="00FC5BD1">
        <w:rPr>
          <w:rFonts w:cstheme="minorHAnsi"/>
        </w:rPr>
        <w:t>humanas</w:t>
      </w:r>
      <w:proofErr w:type="spellEnd"/>
      <w:r w:rsidRPr="00FC5BD1">
        <w:rPr>
          <w:rFonts w:cstheme="minorHAnsi"/>
        </w:rPr>
        <w:t xml:space="preserve"> que </w:t>
      </w:r>
      <w:proofErr w:type="spellStart"/>
      <w:r w:rsidRPr="00FC5BD1">
        <w:rPr>
          <w:rFonts w:cstheme="minorHAnsi"/>
        </w:rPr>
        <w:t>generan</w:t>
      </w:r>
      <w:proofErr w:type="spellEnd"/>
      <w:r w:rsidRPr="00FC5BD1">
        <w:rPr>
          <w:rFonts w:cstheme="minorHAnsi"/>
        </w:rPr>
        <w:t xml:space="preserve"> gases de </w:t>
      </w:r>
      <w:proofErr w:type="spellStart"/>
      <w:r w:rsidRPr="00FC5BD1">
        <w:rPr>
          <w:rFonts w:cstheme="minorHAnsi"/>
        </w:rPr>
        <w:t>efecto</w:t>
      </w:r>
      <w:proofErr w:type="spellEnd"/>
      <w:r w:rsidRPr="00FC5BD1">
        <w:rPr>
          <w:rFonts w:cstheme="minorHAnsi"/>
        </w:rPr>
        <w:t xml:space="preserve"> </w:t>
      </w:r>
      <w:proofErr w:type="spellStart"/>
      <w:r w:rsidRPr="00FC5BD1">
        <w:rPr>
          <w:rFonts w:cstheme="minorHAnsi"/>
        </w:rPr>
        <w:t>invernadero</w:t>
      </w:r>
      <w:proofErr w:type="spellEnd"/>
      <w:r w:rsidRPr="00FC5BD1">
        <w:rPr>
          <w:rFonts w:cstheme="minorHAnsi"/>
        </w:rPr>
        <w:t xml:space="preserve">. </w:t>
      </w:r>
      <w:proofErr w:type="spellStart"/>
      <w:r w:rsidRPr="00FC5BD1">
        <w:rPr>
          <w:rFonts w:cstheme="minorHAnsi"/>
        </w:rPr>
        <w:t>Ecoembes</w:t>
      </w:r>
      <w:proofErr w:type="spellEnd"/>
      <w:r w:rsidRPr="00FC5BD1">
        <w:rPr>
          <w:rFonts w:cstheme="minorHAnsi"/>
        </w:rPr>
        <w:t xml:space="preserve">. Available at </w:t>
      </w:r>
      <w:hyperlink r:id="rId41" w:history="1">
        <w:r w:rsidRPr="00FC5BD1">
          <w:rPr>
            <w:rStyle w:val="Hipervnculo"/>
            <w:rFonts w:cstheme="minorHAnsi"/>
          </w:rPr>
          <w:t>https://www.ecoembes.com/es/planeta-recicla/blog/nueve-actividades-humanas-que-generan-gases-de-efecto-invernadero</w:t>
        </w:r>
      </w:hyperlink>
    </w:p>
    <w:p w14:paraId="0C1614C5" w14:textId="31D27E32" w:rsidR="00225B46" w:rsidRPr="0064655D" w:rsidRDefault="00225B46" w:rsidP="004E44A1">
      <w:pPr>
        <w:spacing w:after="240"/>
        <w:ind w:left="851" w:hanging="851"/>
        <w:jc w:val="both"/>
        <w:rPr>
          <w:rFonts w:cstheme="minorHAnsi"/>
          <w:lang w:val="es-CR"/>
        </w:rPr>
      </w:pPr>
      <w:r w:rsidRPr="0064655D">
        <w:rPr>
          <w:rFonts w:cstheme="minorHAnsi"/>
          <w:lang w:val="es-CR"/>
        </w:rPr>
        <w:t>Salinas-Callejas, E., &amp; Gasca-Quezada, V. (2009). Los biocombustibles. </w:t>
      </w:r>
      <w:r w:rsidRPr="0064655D">
        <w:rPr>
          <w:rFonts w:cstheme="minorHAnsi"/>
          <w:i/>
          <w:iCs/>
          <w:lang w:val="es-CR"/>
        </w:rPr>
        <w:t>El cotidiano</w:t>
      </w:r>
      <w:r w:rsidRPr="0064655D">
        <w:rPr>
          <w:rFonts w:cstheme="minorHAnsi"/>
          <w:lang w:val="es-CR"/>
        </w:rPr>
        <w:t xml:space="preserve">, (157), 75-82. </w:t>
      </w:r>
      <w:proofErr w:type="spellStart"/>
      <w:r w:rsidRPr="0064655D">
        <w:rPr>
          <w:rFonts w:cstheme="minorHAnsi"/>
          <w:lang w:val="es-CR"/>
        </w:rPr>
        <w:t>Available</w:t>
      </w:r>
      <w:proofErr w:type="spellEnd"/>
      <w:r w:rsidRPr="0064655D">
        <w:rPr>
          <w:rFonts w:cstheme="minorHAnsi"/>
          <w:lang w:val="es-CR"/>
        </w:rPr>
        <w:t xml:space="preserve"> at </w:t>
      </w:r>
      <w:hyperlink r:id="rId42" w:history="1">
        <w:r w:rsidR="00C81F00" w:rsidRPr="0064655D">
          <w:rPr>
            <w:rStyle w:val="Hipervnculo"/>
            <w:rFonts w:cstheme="minorHAnsi"/>
            <w:lang w:val="es-CR"/>
          </w:rPr>
          <w:t>https://www.redalyc.org/pdf/325/32512739009.pdf</w:t>
        </w:r>
      </w:hyperlink>
    </w:p>
    <w:p w14:paraId="462784AF" w14:textId="7B181A6F" w:rsidR="00225B46" w:rsidRPr="00FC5BD1" w:rsidRDefault="00225B46" w:rsidP="004E44A1">
      <w:pPr>
        <w:spacing w:after="240"/>
        <w:ind w:left="851" w:hanging="851"/>
        <w:jc w:val="both"/>
        <w:rPr>
          <w:rFonts w:cstheme="minorHAnsi"/>
        </w:rPr>
      </w:pPr>
      <w:r w:rsidRPr="0064655D">
        <w:rPr>
          <w:rFonts w:cstheme="minorHAnsi"/>
          <w:lang w:val="es-CR"/>
        </w:rPr>
        <w:t xml:space="preserve">Severo, E. A., De Guimarães, J. C. F., &amp; </w:t>
      </w:r>
      <w:proofErr w:type="spellStart"/>
      <w:r w:rsidRPr="0064655D">
        <w:rPr>
          <w:rFonts w:cstheme="minorHAnsi"/>
          <w:lang w:val="es-CR"/>
        </w:rPr>
        <w:t>Dellarmelin</w:t>
      </w:r>
      <w:proofErr w:type="spellEnd"/>
      <w:r w:rsidRPr="0064655D">
        <w:rPr>
          <w:rFonts w:cstheme="minorHAnsi"/>
          <w:lang w:val="es-CR"/>
        </w:rPr>
        <w:t xml:space="preserve">, M. L. (2021). </w:t>
      </w:r>
      <w:r w:rsidRPr="00FC5BD1">
        <w:rPr>
          <w:rFonts w:cstheme="minorHAnsi"/>
        </w:rPr>
        <w:t>Impact of the COVID-19 pandemic on environmental awareness, sustainable consumption and social responsibility: Evidence from generations in Brazil and Portugal. </w:t>
      </w:r>
      <w:r w:rsidRPr="00FC5BD1">
        <w:rPr>
          <w:rFonts w:cstheme="minorHAnsi"/>
          <w:i/>
          <w:iCs/>
        </w:rPr>
        <w:t>Journal of cleaner production</w:t>
      </w:r>
      <w:r w:rsidRPr="00FC5BD1">
        <w:rPr>
          <w:rFonts w:cstheme="minorHAnsi"/>
        </w:rPr>
        <w:t>, </w:t>
      </w:r>
      <w:r w:rsidRPr="00FC5BD1">
        <w:rPr>
          <w:rFonts w:cstheme="minorHAnsi"/>
          <w:i/>
          <w:iCs/>
        </w:rPr>
        <w:t>286</w:t>
      </w:r>
      <w:r w:rsidRPr="00FC5BD1">
        <w:rPr>
          <w:rFonts w:cstheme="minorHAnsi"/>
        </w:rPr>
        <w:t xml:space="preserve">, 124947. </w:t>
      </w:r>
      <w:hyperlink r:id="rId43" w:history="1">
        <w:r w:rsidR="00C81F00" w:rsidRPr="00FC5BD1">
          <w:rPr>
            <w:rStyle w:val="Hipervnculo"/>
            <w:rFonts w:cstheme="minorHAnsi"/>
          </w:rPr>
          <w:t>https://doi.org/10.1016/j.jclepro.2020.124947</w:t>
        </w:r>
      </w:hyperlink>
    </w:p>
    <w:p w14:paraId="751A1379" w14:textId="77777777" w:rsidR="00225B46" w:rsidRPr="00FC5BD1" w:rsidRDefault="00225B46" w:rsidP="004E44A1">
      <w:pPr>
        <w:spacing w:after="240"/>
        <w:ind w:left="851" w:hanging="851"/>
        <w:jc w:val="both"/>
        <w:rPr>
          <w:rFonts w:cstheme="minorHAnsi"/>
        </w:rPr>
      </w:pPr>
      <w:r w:rsidRPr="00FC5BD1">
        <w:rPr>
          <w:rFonts w:cstheme="minorHAnsi"/>
        </w:rPr>
        <w:t xml:space="preserve">Sharma, A. (2019). Consumer </w:t>
      </w:r>
      <w:proofErr w:type="spellStart"/>
      <w:r w:rsidRPr="00FC5BD1">
        <w:rPr>
          <w:rFonts w:cstheme="minorHAnsi"/>
        </w:rPr>
        <w:t>behaviour</w:t>
      </w:r>
      <w:proofErr w:type="spellEnd"/>
      <w:r w:rsidRPr="00FC5BD1">
        <w:rPr>
          <w:rFonts w:cstheme="minorHAnsi"/>
        </w:rPr>
        <w:t xml:space="preserve"> and centennials. En: Shukla, S., Gupta, K., Bhardwaj, P. (eds.) Marketing to Centennials in Digital World, 37- 49. Bazooka Publications.</w:t>
      </w:r>
    </w:p>
    <w:p w14:paraId="70DB0ED4" w14:textId="4FC0D9C7" w:rsidR="00F42D43" w:rsidRPr="00FC5BD1" w:rsidRDefault="00225B46" w:rsidP="00F42D43">
      <w:pPr>
        <w:spacing w:after="240"/>
        <w:ind w:left="851" w:hanging="851"/>
        <w:jc w:val="both"/>
        <w:rPr>
          <w:rFonts w:cstheme="minorHAnsi"/>
        </w:rPr>
      </w:pPr>
      <w:r w:rsidRPr="00FC5BD1">
        <w:rPr>
          <w:rFonts w:cstheme="minorHAnsi"/>
        </w:rPr>
        <w:t xml:space="preserve">Sharma, P., Gupta, S. y Kapoor, D. (2020). Digital marketing and consumer millennials: A comparative study of men, women, and transgender consumers' buying </w:t>
      </w:r>
      <w:proofErr w:type="spellStart"/>
      <w:r w:rsidRPr="00FC5BD1">
        <w:rPr>
          <w:rFonts w:cstheme="minorHAnsi"/>
        </w:rPr>
        <w:t>behaviour</w:t>
      </w:r>
      <w:proofErr w:type="spellEnd"/>
      <w:r w:rsidRPr="00FC5BD1">
        <w:rPr>
          <w:rFonts w:cstheme="minorHAnsi"/>
        </w:rPr>
        <w:t xml:space="preserve"> in Punjab.</w:t>
      </w:r>
      <w:r w:rsidRPr="00FC5BD1">
        <w:rPr>
          <w:rFonts w:cstheme="minorHAnsi"/>
          <w:i/>
          <w:iCs/>
        </w:rPr>
        <w:t xml:space="preserve"> Indian Journal of Marketing</w:t>
      </w:r>
      <w:r w:rsidRPr="00FC5BD1">
        <w:rPr>
          <w:rFonts w:cstheme="minorHAnsi"/>
        </w:rPr>
        <w:t xml:space="preserve">, 50(3), 47-57. </w:t>
      </w:r>
      <w:hyperlink r:id="rId44" w:history="1">
        <w:r w:rsidR="00F42D43" w:rsidRPr="00FC5BD1">
          <w:rPr>
            <w:rStyle w:val="Hipervnculo"/>
            <w:rFonts w:cstheme="minorHAnsi"/>
          </w:rPr>
          <w:t>10.17010/</w:t>
        </w:r>
        <w:proofErr w:type="spellStart"/>
        <w:r w:rsidR="00F42D43" w:rsidRPr="00FC5BD1">
          <w:rPr>
            <w:rStyle w:val="Hipervnculo"/>
            <w:rFonts w:cstheme="minorHAnsi"/>
          </w:rPr>
          <w:t>ijom</w:t>
        </w:r>
        <w:proofErr w:type="spellEnd"/>
        <w:r w:rsidR="00F42D43" w:rsidRPr="00FC5BD1">
          <w:rPr>
            <w:rStyle w:val="Hipervnculo"/>
            <w:rFonts w:cstheme="minorHAnsi"/>
          </w:rPr>
          <w:t>/2020/v50/i3/151029</w:t>
        </w:r>
      </w:hyperlink>
    </w:p>
    <w:p w14:paraId="731C3992" w14:textId="3AA912E9" w:rsidR="00225B46" w:rsidRPr="00FC5BD1" w:rsidRDefault="00225B46" w:rsidP="004E44A1">
      <w:pPr>
        <w:spacing w:after="240"/>
        <w:ind w:left="851" w:hanging="851"/>
        <w:jc w:val="both"/>
        <w:rPr>
          <w:rFonts w:cstheme="minorHAnsi"/>
        </w:rPr>
      </w:pPr>
      <w:r w:rsidRPr="00FC5BD1">
        <w:rPr>
          <w:rFonts w:cstheme="minorHAnsi"/>
        </w:rPr>
        <w:t xml:space="preserve">Shaw, D., Shiu, E., &amp; Clarke, I. (2000). The contribution of ethical obligation and self-identity to the theory of planned </w:t>
      </w:r>
      <w:proofErr w:type="spellStart"/>
      <w:r w:rsidRPr="00FC5BD1">
        <w:rPr>
          <w:rFonts w:cstheme="minorHAnsi"/>
        </w:rPr>
        <w:t>behaviour</w:t>
      </w:r>
      <w:proofErr w:type="spellEnd"/>
      <w:r w:rsidRPr="00FC5BD1">
        <w:rPr>
          <w:rFonts w:cstheme="minorHAnsi"/>
        </w:rPr>
        <w:t>: An exploration of ethical consumers. </w:t>
      </w:r>
      <w:r w:rsidRPr="00FC5BD1">
        <w:rPr>
          <w:rFonts w:cstheme="minorHAnsi"/>
          <w:i/>
          <w:iCs/>
        </w:rPr>
        <w:t>Journal of marketing management</w:t>
      </w:r>
      <w:r w:rsidRPr="00FC5BD1">
        <w:rPr>
          <w:rFonts w:cstheme="minorHAnsi"/>
        </w:rPr>
        <w:t>, </w:t>
      </w:r>
      <w:r w:rsidRPr="00FC5BD1">
        <w:rPr>
          <w:rFonts w:cstheme="minorHAnsi"/>
          <w:i/>
          <w:iCs/>
        </w:rPr>
        <w:t>16</w:t>
      </w:r>
      <w:r w:rsidRPr="00FC5BD1">
        <w:rPr>
          <w:rFonts w:cstheme="minorHAnsi"/>
        </w:rPr>
        <w:t xml:space="preserve">(8), 879-894. </w:t>
      </w:r>
      <w:hyperlink r:id="rId45" w:history="1">
        <w:r w:rsidR="00F42D43" w:rsidRPr="00FC5BD1">
          <w:rPr>
            <w:rStyle w:val="Hipervnculo"/>
            <w:rFonts w:cstheme="minorHAnsi"/>
          </w:rPr>
          <w:t>https://doi.org/10.1362/026725700784683672</w:t>
        </w:r>
      </w:hyperlink>
    </w:p>
    <w:p w14:paraId="5D0ACA2D" w14:textId="3090928D" w:rsidR="00F42D43" w:rsidRPr="00FC5BD1" w:rsidRDefault="00225B46" w:rsidP="00F42D43">
      <w:pPr>
        <w:spacing w:after="240"/>
        <w:ind w:left="851" w:hanging="851"/>
        <w:jc w:val="both"/>
        <w:rPr>
          <w:rFonts w:cstheme="minorHAnsi"/>
        </w:rPr>
      </w:pPr>
      <w:r w:rsidRPr="00FC5BD1">
        <w:rPr>
          <w:rFonts w:cstheme="minorHAnsi"/>
        </w:rPr>
        <w:t xml:space="preserve">Signori, P., Gozzo, I., Flint, D. J., Milfeld, T., &amp; </w:t>
      </w:r>
      <w:proofErr w:type="spellStart"/>
      <w:r w:rsidRPr="00FC5BD1">
        <w:rPr>
          <w:rFonts w:cstheme="minorHAnsi"/>
        </w:rPr>
        <w:t>Satinover</w:t>
      </w:r>
      <w:proofErr w:type="spellEnd"/>
      <w:r w:rsidRPr="00FC5BD1">
        <w:rPr>
          <w:rFonts w:cstheme="minorHAnsi"/>
        </w:rPr>
        <w:t xml:space="preserve"> Nichols, B. (2019). Sustainable customer experience: Bridging theory and practice. </w:t>
      </w:r>
      <w:r w:rsidRPr="00FC5BD1">
        <w:rPr>
          <w:rFonts w:cstheme="minorHAnsi"/>
          <w:i/>
          <w:iCs/>
        </w:rPr>
        <w:t>The Synergy of Business Theory and Practice: Advancing the practical application of scholarly research</w:t>
      </w:r>
      <w:r w:rsidRPr="00FC5BD1">
        <w:rPr>
          <w:rFonts w:cstheme="minorHAnsi"/>
        </w:rPr>
        <w:t xml:space="preserve">, 131-174. </w:t>
      </w:r>
      <w:hyperlink r:id="rId46" w:history="1">
        <w:r w:rsidR="00F42D43" w:rsidRPr="00FC5BD1">
          <w:rPr>
            <w:rStyle w:val="Hipervnculo"/>
            <w:rFonts w:cstheme="minorHAnsi"/>
          </w:rPr>
          <w:t>http://dx.doi.org/10.1007/978-3-030-17523-8_7</w:t>
        </w:r>
      </w:hyperlink>
    </w:p>
    <w:p w14:paraId="5F3DDEAF" w14:textId="77777777" w:rsidR="00225B46" w:rsidRPr="00FC5BD1" w:rsidRDefault="00225B46" w:rsidP="004E44A1">
      <w:pPr>
        <w:spacing w:after="240"/>
        <w:ind w:left="851" w:hanging="851"/>
        <w:jc w:val="both"/>
        <w:rPr>
          <w:rFonts w:cstheme="minorHAnsi"/>
        </w:rPr>
      </w:pPr>
      <w:r w:rsidRPr="00FC5BD1">
        <w:rPr>
          <w:rFonts w:cstheme="minorHAnsi"/>
        </w:rPr>
        <w:t>Stock, J. H., &amp; Watson, M. W. (2003). </w:t>
      </w:r>
      <w:r w:rsidRPr="00FC5BD1">
        <w:rPr>
          <w:rFonts w:cstheme="minorHAnsi"/>
          <w:i/>
          <w:iCs/>
        </w:rPr>
        <w:t>Introduction to econometrics</w:t>
      </w:r>
      <w:r w:rsidRPr="00FC5BD1">
        <w:rPr>
          <w:rFonts w:cstheme="minorHAnsi"/>
        </w:rPr>
        <w:t> (Vol. 104). Boston: Addison Wesley.</w:t>
      </w:r>
    </w:p>
    <w:p w14:paraId="6394CE04" w14:textId="77777777" w:rsidR="00225B46" w:rsidRPr="00FC5BD1" w:rsidRDefault="00225B46" w:rsidP="004E44A1">
      <w:pPr>
        <w:spacing w:after="240"/>
        <w:ind w:left="851" w:hanging="851"/>
        <w:jc w:val="both"/>
        <w:rPr>
          <w:rFonts w:cstheme="minorHAnsi"/>
        </w:rPr>
      </w:pPr>
      <w:proofErr w:type="spellStart"/>
      <w:r w:rsidRPr="0064655D">
        <w:rPr>
          <w:rFonts w:cstheme="minorHAnsi"/>
          <w:lang w:val="es-CR"/>
        </w:rPr>
        <w:lastRenderedPageBreak/>
        <w:t>Sun</w:t>
      </w:r>
      <w:proofErr w:type="spellEnd"/>
      <w:r w:rsidRPr="0064655D">
        <w:rPr>
          <w:rFonts w:cstheme="minorHAnsi"/>
          <w:lang w:val="es-CR"/>
        </w:rPr>
        <w:t xml:space="preserve">, F., Yun, D. A. I., &amp; </w:t>
      </w:r>
      <w:proofErr w:type="spellStart"/>
      <w:r w:rsidRPr="0064655D">
        <w:rPr>
          <w:rFonts w:cstheme="minorHAnsi"/>
          <w:lang w:val="es-CR"/>
        </w:rPr>
        <w:t>Yu</w:t>
      </w:r>
      <w:proofErr w:type="spellEnd"/>
      <w:r w:rsidRPr="0064655D">
        <w:rPr>
          <w:rFonts w:cstheme="minorHAnsi"/>
          <w:lang w:val="es-CR"/>
        </w:rPr>
        <w:t xml:space="preserve">, X. (2017). </w:t>
      </w:r>
      <w:r w:rsidRPr="00FC5BD1">
        <w:rPr>
          <w:rFonts w:cstheme="minorHAnsi"/>
        </w:rPr>
        <w:t xml:space="preserve">Air pollution, food production and food security: A review from the perspective of </w:t>
      </w:r>
      <w:proofErr w:type="gramStart"/>
      <w:r w:rsidRPr="00FC5BD1">
        <w:rPr>
          <w:rFonts w:cstheme="minorHAnsi"/>
        </w:rPr>
        <w:t>food</w:t>
      </w:r>
      <w:proofErr w:type="gramEnd"/>
      <w:r w:rsidRPr="00FC5BD1">
        <w:rPr>
          <w:rFonts w:cstheme="minorHAnsi"/>
        </w:rPr>
        <w:t xml:space="preserve"> system. </w:t>
      </w:r>
      <w:r w:rsidRPr="00FC5BD1">
        <w:rPr>
          <w:rFonts w:cstheme="minorHAnsi"/>
          <w:i/>
          <w:iCs/>
        </w:rPr>
        <w:t>Journal of integrative agriculture</w:t>
      </w:r>
      <w:r w:rsidRPr="00FC5BD1">
        <w:rPr>
          <w:rFonts w:cstheme="minorHAnsi"/>
        </w:rPr>
        <w:t>, </w:t>
      </w:r>
      <w:r w:rsidRPr="00FC5BD1">
        <w:rPr>
          <w:rFonts w:cstheme="minorHAnsi"/>
          <w:i/>
          <w:iCs/>
        </w:rPr>
        <w:t>16</w:t>
      </w:r>
      <w:r w:rsidRPr="00FC5BD1">
        <w:rPr>
          <w:rFonts w:cstheme="minorHAnsi"/>
        </w:rPr>
        <w:t xml:space="preserve">(12), 2945-2962. </w:t>
      </w:r>
      <w:hyperlink r:id="rId47" w:tgtFrame="_blank" w:tooltip="Persistent link using digital object identifier" w:history="1">
        <w:r w:rsidRPr="00FC5BD1">
          <w:rPr>
            <w:rStyle w:val="Hipervnculo"/>
            <w:rFonts w:cstheme="minorHAnsi"/>
          </w:rPr>
          <w:t>https://doi.org/10.1016/S2095-3119(17)61814-8</w:t>
        </w:r>
      </w:hyperlink>
    </w:p>
    <w:p w14:paraId="371505C8" w14:textId="33DCFD15" w:rsidR="00F575A6" w:rsidRPr="0064655D" w:rsidRDefault="00F575A6" w:rsidP="00F575A6">
      <w:pPr>
        <w:spacing w:after="240"/>
        <w:ind w:left="851" w:hanging="851"/>
        <w:jc w:val="both"/>
        <w:rPr>
          <w:rFonts w:cstheme="minorHAnsi"/>
          <w:lang w:val="es-CR"/>
        </w:rPr>
      </w:pPr>
      <w:r w:rsidRPr="00FC5BD1">
        <w:rPr>
          <w:rFonts w:cstheme="minorHAnsi"/>
        </w:rPr>
        <w:t xml:space="preserve">Toluca City Council (2021). </w:t>
      </w:r>
      <w:r w:rsidRPr="0064655D">
        <w:rPr>
          <w:rFonts w:cstheme="minorHAnsi"/>
          <w:i/>
          <w:iCs/>
          <w:lang w:val="es-CR"/>
        </w:rPr>
        <w:t>Numeralia Municipal. H. Ayuntamiento de Toluca 21</w:t>
      </w:r>
      <w:r w:rsidRPr="0064655D">
        <w:rPr>
          <w:rFonts w:cstheme="minorHAnsi"/>
          <w:lang w:val="es-CR"/>
        </w:rPr>
        <w:t xml:space="preserve">, Toluca. Recuperado de </w:t>
      </w:r>
      <w:hyperlink r:id="rId48" w:history="1">
        <w:r w:rsidR="00F42D43" w:rsidRPr="0064655D">
          <w:rPr>
            <w:rStyle w:val="Hipervnculo"/>
            <w:rFonts w:cstheme="minorHAnsi"/>
            <w:lang w:val="es-CR"/>
          </w:rPr>
          <w:t>https://www2.toluca.gob.mx/wp-content/uploads/2022/02/num-muni-2021pdf.pdf</w:t>
        </w:r>
      </w:hyperlink>
    </w:p>
    <w:p w14:paraId="5EB0659D" w14:textId="4057A61A" w:rsidR="00225B46" w:rsidRPr="0064655D" w:rsidRDefault="00225B46" w:rsidP="004E44A1">
      <w:pPr>
        <w:spacing w:after="240"/>
        <w:ind w:left="851" w:hanging="851"/>
        <w:jc w:val="both"/>
        <w:rPr>
          <w:rFonts w:cstheme="minorHAnsi"/>
          <w:lang w:val="es-CR"/>
        </w:rPr>
      </w:pPr>
      <w:proofErr w:type="spellStart"/>
      <w:r w:rsidRPr="0064655D">
        <w:rPr>
          <w:rFonts w:cstheme="minorHAnsi"/>
          <w:lang w:val="es-CR"/>
        </w:rPr>
        <w:t>Trudel</w:t>
      </w:r>
      <w:proofErr w:type="spellEnd"/>
      <w:r w:rsidRPr="0064655D">
        <w:rPr>
          <w:rFonts w:cstheme="minorHAnsi"/>
          <w:lang w:val="es-CR"/>
        </w:rPr>
        <w:t xml:space="preserve">, R. (2019). </w:t>
      </w:r>
      <w:proofErr w:type="spellStart"/>
      <w:r w:rsidRPr="0064655D">
        <w:rPr>
          <w:rFonts w:cstheme="minorHAnsi"/>
          <w:lang w:val="es-CR"/>
        </w:rPr>
        <w:t>Sustainable</w:t>
      </w:r>
      <w:proofErr w:type="spellEnd"/>
      <w:r w:rsidRPr="0064655D">
        <w:rPr>
          <w:rFonts w:cstheme="minorHAnsi"/>
          <w:lang w:val="es-CR"/>
        </w:rPr>
        <w:t xml:space="preserve"> </w:t>
      </w:r>
      <w:proofErr w:type="spellStart"/>
      <w:r w:rsidRPr="0064655D">
        <w:rPr>
          <w:rFonts w:cstheme="minorHAnsi"/>
          <w:lang w:val="es-CR"/>
        </w:rPr>
        <w:t>consumer</w:t>
      </w:r>
      <w:proofErr w:type="spellEnd"/>
      <w:r w:rsidRPr="0064655D">
        <w:rPr>
          <w:rFonts w:cstheme="minorHAnsi"/>
          <w:lang w:val="es-CR"/>
        </w:rPr>
        <w:t xml:space="preserve"> </w:t>
      </w:r>
      <w:proofErr w:type="spellStart"/>
      <w:r w:rsidRPr="0064655D">
        <w:rPr>
          <w:rFonts w:cstheme="minorHAnsi"/>
          <w:lang w:val="es-CR"/>
        </w:rPr>
        <w:t>behavior</w:t>
      </w:r>
      <w:proofErr w:type="spellEnd"/>
      <w:r w:rsidRPr="0064655D">
        <w:rPr>
          <w:rFonts w:cstheme="minorHAnsi"/>
          <w:lang w:val="es-CR"/>
        </w:rPr>
        <w:t>. </w:t>
      </w:r>
      <w:proofErr w:type="spellStart"/>
      <w:r w:rsidRPr="0064655D">
        <w:rPr>
          <w:rFonts w:cstheme="minorHAnsi"/>
          <w:i/>
          <w:iCs/>
          <w:lang w:val="es-CR"/>
        </w:rPr>
        <w:t>Consumer</w:t>
      </w:r>
      <w:proofErr w:type="spellEnd"/>
      <w:r w:rsidRPr="0064655D">
        <w:rPr>
          <w:rFonts w:cstheme="minorHAnsi"/>
          <w:i/>
          <w:iCs/>
          <w:lang w:val="es-CR"/>
        </w:rPr>
        <w:t xml:space="preserve"> </w:t>
      </w:r>
      <w:proofErr w:type="spellStart"/>
      <w:r w:rsidRPr="0064655D">
        <w:rPr>
          <w:rFonts w:cstheme="minorHAnsi"/>
          <w:i/>
          <w:iCs/>
          <w:lang w:val="es-CR"/>
        </w:rPr>
        <w:t>psychology</w:t>
      </w:r>
      <w:proofErr w:type="spellEnd"/>
      <w:r w:rsidRPr="0064655D">
        <w:rPr>
          <w:rFonts w:cstheme="minorHAnsi"/>
          <w:i/>
          <w:iCs/>
          <w:lang w:val="es-CR"/>
        </w:rPr>
        <w:t xml:space="preserve"> </w:t>
      </w:r>
      <w:proofErr w:type="spellStart"/>
      <w:r w:rsidRPr="0064655D">
        <w:rPr>
          <w:rFonts w:cstheme="minorHAnsi"/>
          <w:i/>
          <w:iCs/>
          <w:lang w:val="es-CR"/>
        </w:rPr>
        <w:t>review</w:t>
      </w:r>
      <w:proofErr w:type="spellEnd"/>
      <w:r w:rsidRPr="0064655D">
        <w:rPr>
          <w:rFonts w:cstheme="minorHAnsi"/>
          <w:lang w:val="es-CR"/>
        </w:rPr>
        <w:t>, </w:t>
      </w:r>
      <w:r w:rsidRPr="0064655D">
        <w:rPr>
          <w:rFonts w:cstheme="minorHAnsi"/>
          <w:i/>
          <w:iCs/>
          <w:lang w:val="es-CR"/>
        </w:rPr>
        <w:t>2</w:t>
      </w:r>
      <w:r w:rsidRPr="0064655D">
        <w:rPr>
          <w:rFonts w:cstheme="minorHAnsi"/>
          <w:lang w:val="es-CR"/>
        </w:rPr>
        <w:t xml:space="preserve">(1), 85-96. </w:t>
      </w:r>
      <w:hyperlink r:id="rId49" w:history="1">
        <w:r w:rsidR="00F42D43" w:rsidRPr="0064655D">
          <w:rPr>
            <w:rStyle w:val="Hipervnculo"/>
            <w:rFonts w:cstheme="minorHAnsi"/>
            <w:lang w:val="es-CR"/>
          </w:rPr>
          <w:t>https://doi.org/10.1002/arcp.1045</w:t>
        </w:r>
      </w:hyperlink>
    </w:p>
    <w:p w14:paraId="30372309" w14:textId="77777777" w:rsidR="00225B46" w:rsidRPr="00FC5BD1" w:rsidRDefault="00225B46" w:rsidP="004E44A1">
      <w:pPr>
        <w:spacing w:after="240"/>
        <w:ind w:left="851" w:hanging="851"/>
        <w:jc w:val="both"/>
        <w:rPr>
          <w:rFonts w:cstheme="minorHAnsi"/>
        </w:rPr>
      </w:pPr>
      <w:r w:rsidRPr="0064655D">
        <w:rPr>
          <w:rFonts w:cstheme="minorHAnsi"/>
          <w:lang w:val="es-CR"/>
        </w:rPr>
        <w:t xml:space="preserve">Vilanova, N., y Ortega, I. (2017). Generación Z: Todo lo que necesitas saber sobre los jóvenes que han dejado viejos a los </w:t>
      </w:r>
      <w:proofErr w:type="spellStart"/>
      <w:r w:rsidRPr="0064655D">
        <w:rPr>
          <w:rFonts w:cstheme="minorHAnsi"/>
          <w:lang w:val="es-CR"/>
        </w:rPr>
        <w:t>millennials</w:t>
      </w:r>
      <w:proofErr w:type="spellEnd"/>
      <w:r w:rsidRPr="0064655D">
        <w:rPr>
          <w:rFonts w:cstheme="minorHAnsi"/>
          <w:lang w:val="es-CR"/>
        </w:rPr>
        <w:t xml:space="preserve">. </w:t>
      </w:r>
      <w:r w:rsidRPr="00FC5BD1">
        <w:rPr>
          <w:rFonts w:cstheme="minorHAnsi"/>
        </w:rPr>
        <w:t>Barcelona: Plataforma Editorial.</w:t>
      </w:r>
    </w:p>
    <w:p w14:paraId="4E47D26E" w14:textId="4EB41600" w:rsidR="00225B46" w:rsidRPr="00FC5BD1" w:rsidRDefault="00225B46" w:rsidP="004E44A1">
      <w:pPr>
        <w:spacing w:after="240"/>
        <w:ind w:left="851" w:hanging="851"/>
        <w:jc w:val="both"/>
        <w:rPr>
          <w:rFonts w:cstheme="minorHAnsi"/>
        </w:rPr>
      </w:pPr>
      <w:r w:rsidRPr="00FC5BD1">
        <w:rPr>
          <w:rFonts w:cstheme="minorHAnsi"/>
        </w:rPr>
        <w:t xml:space="preserve">Wang, C., Ghadimi, P., Lim, M. K., &amp; Tseng, M. L. (2019). A literature review of sustainable consumption and production: A comparative analysis in developed and developing economies. </w:t>
      </w:r>
      <w:r w:rsidRPr="00FC5BD1">
        <w:rPr>
          <w:rFonts w:cstheme="minorHAnsi"/>
          <w:i/>
          <w:iCs/>
        </w:rPr>
        <w:t>Journal of cleaner production</w:t>
      </w:r>
      <w:r w:rsidRPr="00FC5BD1">
        <w:rPr>
          <w:rFonts w:cstheme="minorHAnsi"/>
        </w:rPr>
        <w:t xml:space="preserve">, 206, 741-754. </w:t>
      </w:r>
      <w:hyperlink r:id="rId50" w:history="1">
        <w:r w:rsidR="00F42D43" w:rsidRPr="00FC5BD1">
          <w:rPr>
            <w:rStyle w:val="Hipervnculo"/>
            <w:rFonts w:cstheme="minorHAnsi"/>
          </w:rPr>
          <w:t>https://doi.org/10.1016/j.jclepro.2018.09.172</w:t>
        </w:r>
      </w:hyperlink>
    </w:p>
    <w:p w14:paraId="2458236E" w14:textId="54A0BB00" w:rsidR="00225B46" w:rsidRPr="00FC5BD1" w:rsidRDefault="00225B46" w:rsidP="00EA7904">
      <w:pPr>
        <w:spacing w:after="240"/>
        <w:ind w:left="851" w:hanging="851"/>
        <w:jc w:val="both"/>
      </w:pPr>
      <w:proofErr w:type="spellStart"/>
      <w:r w:rsidRPr="00FC5BD1">
        <w:rPr>
          <w:rFonts w:cstheme="minorHAnsi"/>
        </w:rPr>
        <w:t>Yarimoglu</w:t>
      </w:r>
      <w:proofErr w:type="spellEnd"/>
      <w:r w:rsidRPr="00FC5BD1">
        <w:rPr>
          <w:rFonts w:cstheme="minorHAnsi"/>
        </w:rPr>
        <w:t xml:space="preserve">, E., &amp; </w:t>
      </w:r>
      <w:proofErr w:type="spellStart"/>
      <w:r w:rsidRPr="00FC5BD1">
        <w:rPr>
          <w:rFonts w:cstheme="minorHAnsi"/>
        </w:rPr>
        <w:t>Binboga</w:t>
      </w:r>
      <w:proofErr w:type="spellEnd"/>
      <w:r w:rsidRPr="00FC5BD1">
        <w:rPr>
          <w:rFonts w:cstheme="minorHAnsi"/>
        </w:rPr>
        <w:t>, G. (2019). Understanding sustainable consumption in an emerging country: The antecedents and consequences of the ecologically conscious consumer behavior model. </w:t>
      </w:r>
      <w:r w:rsidRPr="00FC5BD1">
        <w:rPr>
          <w:rFonts w:cstheme="minorHAnsi"/>
          <w:i/>
          <w:iCs/>
        </w:rPr>
        <w:t>Business Strategy and the Environment</w:t>
      </w:r>
      <w:r w:rsidRPr="00FC5BD1">
        <w:rPr>
          <w:rFonts w:cstheme="minorHAnsi"/>
        </w:rPr>
        <w:t>, </w:t>
      </w:r>
      <w:r w:rsidRPr="00FC5BD1">
        <w:rPr>
          <w:rFonts w:cstheme="minorHAnsi"/>
          <w:i/>
          <w:iCs/>
        </w:rPr>
        <w:t>28</w:t>
      </w:r>
      <w:r w:rsidRPr="00FC5BD1">
        <w:rPr>
          <w:rFonts w:cstheme="minorHAnsi"/>
        </w:rPr>
        <w:t xml:space="preserve">(4), 642-651. </w:t>
      </w:r>
      <w:hyperlink r:id="rId51" w:history="1">
        <w:r w:rsidR="00F42D43" w:rsidRPr="00FC5BD1">
          <w:rPr>
            <w:rStyle w:val="Hipervnculo"/>
            <w:rFonts w:cstheme="minorHAnsi"/>
          </w:rPr>
          <w:t>https://doi.org/10.1002/bse.2270</w:t>
        </w:r>
      </w:hyperlink>
    </w:p>
    <w:p w14:paraId="0E3FB970" w14:textId="77777777" w:rsidR="005F4E60" w:rsidRPr="00FC5BD1" w:rsidRDefault="005F4E60" w:rsidP="005F4E60">
      <w:pPr>
        <w:rPr>
          <w:rFonts w:cstheme="minorHAnsi"/>
        </w:rPr>
      </w:pPr>
    </w:p>
    <w:p w14:paraId="1797CC64" w14:textId="77777777" w:rsidR="005F4E60" w:rsidRPr="00FC5BD1" w:rsidRDefault="005F4E60" w:rsidP="005F4E60">
      <w:pPr>
        <w:rPr>
          <w:rFonts w:cstheme="minorHAnsi"/>
        </w:rPr>
      </w:pPr>
    </w:p>
    <w:p w14:paraId="5C2A8D91" w14:textId="77777777" w:rsidR="005F4E60" w:rsidRPr="00FC5BD1" w:rsidRDefault="005F4E60" w:rsidP="005F4E60">
      <w:pPr>
        <w:rPr>
          <w:rFonts w:cstheme="minorHAnsi"/>
        </w:rPr>
      </w:pPr>
    </w:p>
    <w:p w14:paraId="1554D9AB" w14:textId="77777777" w:rsidR="005F4E60" w:rsidRPr="00FC5BD1" w:rsidRDefault="005F4E60" w:rsidP="005F4E60">
      <w:pPr>
        <w:rPr>
          <w:rFonts w:cstheme="minorHAnsi"/>
        </w:rPr>
      </w:pPr>
    </w:p>
    <w:p w14:paraId="74ADD64F" w14:textId="77777777" w:rsidR="005F4E60" w:rsidRPr="00FC5BD1" w:rsidRDefault="005F4E60" w:rsidP="005F4E60">
      <w:pPr>
        <w:rPr>
          <w:rFonts w:cstheme="minorHAnsi"/>
        </w:rPr>
      </w:pPr>
    </w:p>
    <w:p w14:paraId="3FFB7919" w14:textId="77777777" w:rsidR="005F4E60" w:rsidRPr="00FC5BD1" w:rsidRDefault="005F4E60" w:rsidP="005F4E60">
      <w:pPr>
        <w:rPr>
          <w:rFonts w:cstheme="minorHAnsi"/>
        </w:rPr>
      </w:pPr>
    </w:p>
    <w:p w14:paraId="10B9DD7D" w14:textId="77777777" w:rsidR="005F4E60" w:rsidRPr="00FC5BD1" w:rsidRDefault="005F4E60" w:rsidP="005F4E60">
      <w:pPr>
        <w:rPr>
          <w:rFonts w:cstheme="minorHAnsi"/>
        </w:rPr>
      </w:pPr>
    </w:p>
    <w:p w14:paraId="5FE25028" w14:textId="77777777" w:rsidR="005F4E60" w:rsidRPr="00FC5BD1" w:rsidRDefault="005F4E60" w:rsidP="005F4E60">
      <w:pPr>
        <w:rPr>
          <w:rFonts w:cstheme="minorHAnsi"/>
        </w:rPr>
      </w:pPr>
    </w:p>
    <w:p w14:paraId="4E310EBD" w14:textId="77777777" w:rsidR="005F4E60" w:rsidRPr="00FC5BD1" w:rsidRDefault="005F4E60" w:rsidP="005F4E60">
      <w:pPr>
        <w:rPr>
          <w:rFonts w:cstheme="minorHAnsi"/>
        </w:rPr>
      </w:pPr>
    </w:p>
    <w:p w14:paraId="24C18B4D" w14:textId="77777777" w:rsidR="005F4E60" w:rsidRPr="00FC5BD1" w:rsidRDefault="005F4E60" w:rsidP="005F4E60">
      <w:pPr>
        <w:rPr>
          <w:rFonts w:cstheme="minorHAnsi"/>
        </w:rPr>
      </w:pPr>
    </w:p>
    <w:p w14:paraId="04358F6C" w14:textId="77777777" w:rsidR="005F4E60" w:rsidRPr="00FC5BD1" w:rsidRDefault="005F4E60" w:rsidP="005F4E60">
      <w:pPr>
        <w:rPr>
          <w:rFonts w:cstheme="minorHAnsi"/>
        </w:rPr>
      </w:pPr>
    </w:p>
    <w:p w14:paraId="484293BF" w14:textId="77777777" w:rsidR="005F4E60" w:rsidRPr="00FC5BD1" w:rsidRDefault="005F4E60" w:rsidP="005F4E60">
      <w:pPr>
        <w:rPr>
          <w:rFonts w:cstheme="minorHAnsi"/>
        </w:rPr>
      </w:pPr>
    </w:p>
    <w:p w14:paraId="2FC0D010" w14:textId="12FAD1AD" w:rsidR="005F4E60" w:rsidRPr="005F4E60" w:rsidRDefault="005F4E60" w:rsidP="005F4E60">
      <w:pPr>
        <w:tabs>
          <w:tab w:val="left" w:pos="5550"/>
        </w:tabs>
        <w:rPr>
          <w:rFonts w:cstheme="minorHAnsi"/>
        </w:rPr>
      </w:pPr>
      <w:r w:rsidRPr="00FC5BD1">
        <w:rPr>
          <w:rFonts w:cstheme="minorHAnsi"/>
        </w:rPr>
        <w:tab/>
      </w:r>
    </w:p>
    <w:sectPr w:rsidR="005F4E60" w:rsidRPr="005F4E60" w:rsidSect="004471E6">
      <w:headerReference w:type="default" r:id="rId52"/>
      <w:footerReference w:type="even" r:id="rId53"/>
      <w:footerReference w:type="default" r:id="rId5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A692E" w14:textId="77777777" w:rsidR="00F6165A" w:rsidRPr="00FC5BD1" w:rsidRDefault="00F6165A" w:rsidP="00FD59BA">
      <w:r w:rsidRPr="00FC5BD1">
        <w:separator/>
      </w:r>
    </w:p>
  </w:endnote>
  <w:endnote w:type="continuationSeparator" w:id="0">
    <w:p w14:paraId="109E5C73" w14:textId="77777777" w:rsidR="00F6165A" w:rsidRPr="00FC5BD1" w:rsidRDefault="00F6165A" w:rsidP="00FD59BA">
      <w:r w:rsidRPr="00FC5BD1">
        <w:continuationSeparator/>
      </w:r>
    </w:p>
  </w:endnote>
  <w:endnote w:type="continuationNotice" w:id="1">
    <w:p w14:paraId="7FA46A70" w14:textId="77777777" w:rsidR="00F6165A" w:rsidRPr="00FC5BD1" w:rsidRDefault="00F616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731118893"/>
      <w:docPartObj>
        <w:docPartGallery w:val="Page Numbers (Bottom of Page)"/>
        <w:docPartUnique/>
      </w:docPartObj>
    </w:sdtPr>
    <w:sdtContent>
      <w:p w14:paraId="2156A031" w14:textId="6F978CC2" w:rsidR="00FD59BA" w:rsidRPr="00FC5BD1" w:rsidRDefault="00FD59BA" w:rsidP="003102A9">
        <w:pPr>
          <w:pStyle w:val="Piedepgina"/>
          <w:framePr w:wrap="none" w:vAnchor="text" w:hAnchor="margin" w:xAlign="center" w:y="1"/>
          <w:rPr>
            <w:rStyle w:val="Nmerodepgina"/>
          </w:rPr>
        </w:pPr>
        <w:r w:rsidRPr="00FC5BD1">
          <w:rPr>
            <w:rStyle w:val="Nmerodepgina"/>
          </w:rPr>
          <w:fldChar w:fldCharType="begin"/>
        </w:r>
        <w:r w:rsidRPr="00FC5BD1">
          <w:rPr>
            <w:rStyle w:val="Nmerodepgina"/>
          </w:rPr>
          <w:instrText xml:space="preserve"> PAGE </w:instrText>
        </w:r>
        <w:r w:rsidRPr="00FC5BD1">
          <w:rPr>
            <w:rStyle w:val="Nmerodepgina"/>
          </w:rPr>
          <w:fldChar w:fldCharType="end"/>
        </w:r>
      </w:p>
    </w:sdtContent>
  </w:sdt>
  <w:p w14:paraId="08362C85" w14:textId="77777777" w:rsidR="00FD59BA" w:rsidRPr="00FC5BD1" w:rsidRDefault="00FD59B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01622926"/>
      <w:docPartObj>
        <w:docPartGallery w:val="Page Numbers (Bottom of Page)"/>
        <w:docPartUnique/>
      </w:docPartObj>
    </w:sdtPr>
    <w:sdtContent>
      <w:p w14:paraId="4E70F701" w14:textId="6BE6803C" w:rsidR="00FD59BA" w:rsidRPr="0064655D" w:rsidRDefault="00FD59BA" w:rsidP="003102A9">
        <w:pPr>
          <w:pStyle w:val="Piedepgina"/>
          <w:framePr w:wrap="none" w:vAnchor="text" w:hAnchor="margin" w:xAlign="center" w:y="1"/>
          <w:rPr>
            <w:rStyle w:val="Nmerodepgina"/>
            <w:lang w:val="es-CR"/>
          </w:rPr>
        </w:pPr>
        <w:r w:rsidRPr="00FC5BD1">
          <w:rPr>
            <w:rStyle w:val="Nmerodepgina"/>
          </w:rPr>
          <w:fldChar w:fldCharType="begin"/>
        </w:r>
        <w:r w:rsidRPr="0064655D">
          <w:rPr>
            <w:rStyle w:val="Nmerodepgina"/>
            <w:lang w:val="es-CR"/>
          </w:rPr>
          <w:instrText xml:space="preserve"> PAGE </w:instrText>
        </w:r>
        <w:r w:rsidRPr="00FC5BD1">
          <w:rPr>
            <w:rStyle w:val="Nmerodepgina"/>
          </w:rPr>
          <w:fldChar w:fldCharType="separate"/>
        </w:r>
        <w:r w:rsidRPr="0064655D">
          <w:rPr>
            <w:rStyle w:val="Nmerodepgina"/>
            <w:lang w:val="es-CR"/>
          </w:rPr>
          <w:t>1</w:t>
        </w:r>
        <w:r w:rsidRPr="00FC5BD1">
          <w:rPr>
            <w:rStyle w:val="Nmerodepgina"/>
          </w:rPr>
          <w:fldChar w:fldCharType="end"/>
        </w:r>
      </w:p>
    </w:sdtContent>
  </w:sdt>
  <w:p w14:paraId="7AECB274" w14:textId="2660E631" w:rsidR="00677C2C" w:rsidRPr="0064655D" w:rsidRDefault="00677C2C" w:rsidP="00677C2C">
    <w:pPr>
      <w:pStyle w:val="Sinespaciado"/>
      <w:jc w:val="center"/>
      <w:rPr>
        <w:rFonts w:cs="Calibri"/>
        <w:lang w:val="es-CR"/>
      </w:rPr>
    </w:pPr>
  </w:p>
  <w:p w14:paraId="658717E1" w14:textId="60D06272" w:rsidR="00677C2C" w:rsidRPr="0064655D" w:rsidRDefault="00677C2C" w:rsidP="00677C2C">
    <w:pPr>
      <w:pStyle w:val="Sinespaciado"/>
      <w:jc w:val="center"/>
      <w:rPr>
        <w:rFonts w:cs="Calibri"/>
        <w:sz w:val="18"/>
        <w:szCs w:val="18"/>
        <w:lang w:val="es-CR" w:bidi="en-US"/>
      </w:rPr>
    </w:pPr>
    <w:r w:rsidRPr="0064655D">
      <w:rPr>
        <w:rFonts w:cs="Calibri"/>
        <w:sz w:val="18"/>
        <w:szCs w:val="18"/>
        <w:lang w:val="es-CR" w:bidi="en-US"/>
      </w:rPr>
      <w:t>Rosa María Nava Rogel</w:t>
    </w:r>
  </w:p>
  <w:p w14:paraId="0AAC09CE" w14:textId="77777777" w:rsidR="00677C2C" w:rsidRPr="0064655D" w:rsidRDefault="00677C2C" w:rsidP="00677C2C">
    <w:pPr>
      <w:pStyle w:val="Sinespaciado"/>
      <w:jc w:val="center"/>
      <w:rPr>
        <w:sz w:val="20"/>
        <w:szCs w:val="20"/>
        <w:lang w:val="es-CR"/>
      </w:rPr>
    </w:pPr>
    <w:r w:rsidRPr="00FC5BD1">
      <w:rPr>
        <w:rFonts w:cs="Calibri"/>
        <w:noProof/>
        <w:sz w:val="18"/>
        <w:szCs w:val="18"/>
        <w:lang w:val="en-US" w:eastAsia="es-CR"/>
      </w:rPr>
      <w:drawing>
        <wp:inline distT="0" distB="0" distL="0" distR="0" wp14:anchorId="0500C901" wp14:editId="0A2BE270">
          <wp:extent cx="836930" cy="295910"/>
          <wp:effectExtent l="0" t="0" r="1270" b="8890"/>
          <wp:docPr id="1167436298" name="Imagen 1167436298" descr="Licencia de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Licencia de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930" cy="295910"/>
                  </a:xfrm>
                  <a:prstGeom prst="rect">
                    <a:avLst/>
                  </a:prstGeom>
                  <a:noFill/>
                  <a:ln>
                    <a:noFill/>
                  </a:ln>
                </pic:spPr>
              </pic:pic>
            </a:graphicData>
          </a:graphic>
        </wp:inline>
      </w:drawing>
    </w:r>
    <w:r w:rsidRPr="0064655D">
      <w:rPr>
        <w:rFonts w:cs="Calibri"/>
        <w:sz w:val="18"/>
        <w:szCs w:val="18"/>
        <w:lang w:val="es-CR" w:bidi="en-US"/>
      </w:rPr>
      <w:br/>
      <w:t xml:space="preserve">Revista Economía y Sociedad by </w:t>
    </w:r>
    <w:hyperlink r:id="rId2">
      <w:r w:rsidRPr="0064655D">
        <w:rPr>
          <w:rStyle w:val="EnlacedeInternet"/>
          <w:rFonts w:cs="Calibri"/>
          <w:color w:val="4374B7"/>
          <w:sz w:val="18"/>
          <w:szCs w:val="18"/>
          <w:lang w:val="es-CR" w:bidi="en-US"/>
        </w:rPr>
        <w:t>Universidad Nacional</w:t>
      </w:r>
    </w:hyperlink>
    <w:r w:rsidRPr="0064655D">
      <w:rPr>
        <w:rFonts w:cs="Calibri"/>
        <w:sz w:val="18"/>
        <w:szCs w:val="18"/>
        <w:lang w:val="es-CR" w:eastAsia="en-GB"/>
      </w:rPr>
      <w:t xml:space="preserve"> </w:t>
    </w:r>
    <w:r w:rsidRPr="0064655D">
      <w:rPr>
        <w:rFonts w:cs="Calibri"/>
        <w:sz w:val="18"/>
        <w:szCs w:val="18"/>
        <w:lang w:val="es-CR" w:bidi="en-US"/>
      </w:rPr>
      <w:t xml:space="preserve">is licensed under a </w:t>
    </w:r>
    <w:hyperlink r:id="rId3">
      <w:r w:rsidRPr="0064655D">
        <w:rPr>
          <w:rStyle w:val="EnlacedeInternet"/>
          <w:rFonts w:cs="Calibri"/>
          <w:color w:val="4374B7"/>
          <w:sz w:val="18"/>
          <w:szCs w:val="18"/>
          <w:lang w:val="es-CR" w:bidi="en-US"/>
        </w:rPr>
        <w:t>CreativeCommons Reconocimiento-NoComercial-CompartirIgual 4.0 Internacional License</w:t>
      </w:r>
    </w:hyperlink>
    <w:r w:rsidRPr="0064655D">
      <w:rPr>
        <w:rFonts w:cs="Calibri"/>
        <w:sz w:val="18"/>
        <w:szCs w:val="18"/>
        <w:lang w:val="es-CR" w:bidi="en-US"/>
      </w:rPr>
      <w:t>.</w:t>
    </w:r>
    <w:r w:rsidRPr="0064655D">
      <w:rPr>
        <w:rFonts w:cs="Calibri"/>
        <w:sz w:val="18"/>
        <w:szCs w:val="18"/>
        <w:lang w:val="es-CR" w:bidi="en-US"/>
      </w:rPr>
      <w:br/>
      <w:t xml:space="preserve">Creado a partir de la obra en </w:t>
    </w:r>
    <w:hyperlink r:id="rId4">
      <w:r w:rsidRPr="0064655D">
        <w:rPr>
          <w:rStyle w:val="EnlacedeInternet"/>
          <w:rFonts w:cs="Calibri"/>
          <w:color w:val="4374B7"/>
          <w:sz w:val="18"/>
          <w:szCs w:val="18"/>
          <w:lang w:val="es-CR" w:bidi="en-US"/>
        </w:rPr>
        <w:t>http://www.revistas.una.ac.cr/index.php/economia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302EF" w14:textId="77777777" w:rsidR="00F6165A" w:rsidRPr="00FC5BD1" w:rsidRDefault="00F6165A" w:rsidP="00FD59BA">
      <w:r w:rsidRPr="00FC5BD1">
        <w:separator/>
      </w:r>
    </w:p>
  </w:footnote>
  <w:footnote w:type="continuationSeparator" w:id="0">
    <w:p w14:paraId="0C084B6F" w14:textId="77777777" w:rsidR="00F6165A" w:rsidRPr="00FC5BD1" w:rsidRDefault="00F6165A" w:rsidP="00FD59BA">
      <w:r w:rsidRPr="00FC5BD1">
        <w:continuationSeparator/>
      </w:r>
    </w:p>
  </w:footnote>
  <w:footnote w:type="continuationNotice" w:id="1">
    <w:p w14:paraId="54DC2F05" w14:textId="77777777" w:rsidR="00F6165A" w:rsidRPr="00FC5BD1" w:rsidRDefault="00F6165A"/>
  </w:footnote>
  <w:footnote w:id="2">
    <w:p w14:paraId="5A1F89FD" w14:textId="2EF4F20C" w:rsidR="00760F24" w:rsidRPr="0064655D" w:rsidRDefault="00E05643">
      <w:pPr>
        <w:pStyle w:val="Textonotapie"/>
        <w:rPr>
          <w:lang w:val="pt-BR"/>
        </w:rPr>
      </w:pPr>
      <w:r w:rsidRPr="0064655D">
        <w:rPr>
          <w:lang w:val="pt-BR"/>
        </w:rPr>
        <w:t>DOI</w:t>
      </w:r>
      <w:r w:rsidR="006140E4" w:rsidRPr="0064655D">
        <w:rPr>
          <w:lang w:val="pt-BR"/>
        </w:rPr>
        <w:t xml:space="preserve">: </w:t>
      </w:r>
      <w:hyperlink r:id="rId1" w:history="1">
        <w:r w:rsidR="006140E4" w:rsidRPr="0064655D">
          <w:rPr>
            <w:rStyle w:val="Hipervnculo"/>
            <w:lang w:val="pt-BR"/>
          </w:rPr>
          <w:t>https://doi.org/10.15359/eys.30-67.2</w:t>
        </w:r>
      </w:hyperlink>
    </w:p>
    <w:p w14:paraId="478AFE63" w14:textId="6746FC64" w:rsidR="00760F24" w:rsidRPr="0064655D" w:rsidRDefault="00B72F67">
      <w:pPr>
        <w:pStyle w:val="Textonotapie"/>
        <w:rPr>
          <w:lang w:val="es-CR"/>
        </w:rPr>
      </w:pPr>
      <w:r w:rsidRPr="0064655D">
        <w:rPr>
          <w:lang w:val="es-CR"/>
        </w:rPr>
        <w:t>Recibido</w:t>
      </w:r>
      <w:r w:rsidR="0039050A" w:rsidRPr="0064655D">
        <w:rPr>
          <w:lang w:val="es-CR"/>
        </w:rPr>
        <w:t xml:space="preserve">: </w:t>
      </w:r>
      <w:r w:rsidR="006D557E" w:rsidRPr="0064655D">
        <w:rPr>
          <w:lang w:val="es-CR"/>
        </w:rPr>
        <w:t xml:space="preserve">25 </w:t>
      </w:r>
      <w:r w:rsidR="00CB1043" w:rsidRPr="0064655D">
        <w:rPr>
          <w:lang w:val="es-CR"/>
        </w:rPr>
        <w:t xml:space="preserve">-5 – 2023. Reenvíos: </w:t>
      </w:r>
      <w:r w:rsidR="00ED2B55" w:rsidRPr="0064655D">
        <w:rPr>
          <w:lang w:val="es-CR"/>
        </w:rPr>
        <w:t>25</w:t>
      </w:r>
      <w:r w:rsidR="005C413B" w:rsidRPr="0064655D">
        <w:rPr>
          <w:lang w:val="es-CR"/>
        </w:rPr>
        <w:t xml:space="preserve"> -1</w:t>
      </w:r>
      <w:r w:rsidR="00ED2B55" w:rsidRPr="0064655D">
        <w:rPr>
          <w:lang w:val="es-CR"/>
        </w:rPr>
        <w:t>1</w:t>
      </w:r>
      <w:r w:rsidR="005C413B" w:rsidRPr="0064655D">
        <w:rPr>
          <w:lang w:val="es-CR"/>
        </w:rPr>
        <w:t xml:space="preserve">-2024, </w:t>
      </w:r>
      <w:r w:rsidR="00ED2B55" w:rsidRPr="0064655D">
        <w:rPr>
          <w:lang w:val="es-CR"/>
        </w:rPr>
        <w:t>1</w:t>
      </w:r>
      <w:r w:rsidR="00B53F79" w:rsidRPr="0064655D">
        <w:rPr>
          <w:lang w:val="es-CR"/>
        </w:rPr>
        <w:t>2</w:t>
      </w:r>
      <w:r w:rsidR="00ED2B55" w:rsidRPr="0064655D">
        <w:rPr>
          <w:lang w:val="es-CR"/>
        </w:rPr>
        <w:t xml:space="preserve"> -12- 2024</w:t>
      </w:r>
      <w:r w:rsidR="00B53F79" w:rsidRPr="0064655D">
        <w:rPr>
          <w:lang w:val="es-CR"/>
        </w:rPr>
        <w:t xml:space="preserve">. </w:t>
      </w:r>
      <w:r w:rsidR="00B121B4" w:rsidRPr="0064655D">
        <w:rPr>
          <w:lang w:val="es-CR"/>
        </w:rPr>
        <w:t xml:space="preserve">Aceptado: 17 -12 -2024. Publicado: </w:t>
      </w:r>
      <w:r w:rsidR="008E113E" w:rsidRPr="0064655D">
        <w:rPr>
          <w:lang w:val="es-CR"/>
        </w:rPr>
        <w:t>25 -1 - 2025</w:t>
      </w:r>
    </w:p>
    <w:p w14:paraId="5C9968F9" w14:textId="77777777" w:rsidR="00760F24" w:rsidRPr="0064655D" w:rsidRDefault="00760F24">
      <w:pPr>
        <w:pStyle w:val="Textonotapie"/>
        <w:rPr>
          <w:lang w:val="es-CR"/>
        </w:rPr>
      </w:pPr>
    </w:p>
    <w:p w14:paraId="00D4E266" w14:textId="7C066F3D" w:rsidR="00760F24" w:rsidRPr="00FC5BD1" w:rsidRDefault="00760F24">
      <w:pPr>
        <w:pStyle w:val="Textonotapie"/>
      </w:pPr>
      <w:r w:rsidRPr="00FC5BD1">
        <w:rPr>
          <w:rStyle w:val="Refdenotaalpie"/>
        </w:rPr>
        <w:footnoteRef/>
      </w:r>
      <w:r w:rsidRPr="0064655D">
        <w:rPr>
          <w:lang w:val="es-CR"/>
        </w:rPr>
        <w:t xml:space="preserve"> Doctora </w:t>
      </w:r>
      <w:r w:rsidR="007A0046" w:rsidRPr="0064655D">
        <w:rPr>
          <w:lang w:val="es-CR"/>
        </w:rPr>
        <w:t xml:space="preserve">en </w:t>
      </w:r>
      <w:r w:rsidR="00462746" w:rsidRPr="0064655D">
        <w:rPr>
          <w:lang w:val="es-CR"/>
        </w:rPr>
        <w:t>Ciencias Econ</w:t>
      </w:r>
      <w:r w:rsidR="00F35F62" w:rsidRPr="0064655D">
        <w:rPr>
          <w:lang w:val="es-CR"/>
        </w:rPr>
        <w:t>ómico Administrativas, Universidad Autónoma del Estado de México</w:t>
      </w:r>
      <w:r w:rsidR="00462746" w:rsidRPr="0064655D">
        <w:rPr>
          <w:lang w:val="es-CR"/>
        </w:rPr>
        <w:t xml:space="preserve">, </w:t>
      </w:r>
      <w:r w:rsidR="0085651D" w:rsidRPr="0064655D">
        <w:rPr>
          <w:lang w:val="es-CR"/>
        </w:rPr>
        <w:t xml:space="preserve">México. </w:t>
      </w:r>
      <w:r w:rsidR="0085651D" w:rsidRPr="00FC5BD1">
        <w:t xml:space="preserve">Correo </w:t>
      </w:r>
      <w:proofErr w:type="spellStart"/>
      <w:r w:rsidR="0085651D" w:rsidRPr="00FC5BD1">
        <w:t>electrónico</w:t>
      </w:r>
      <w:proofErr w:type="spellEnd"/>
      <w:r w:rsidR="0085651D" w:rsidRPr="00FC5BD1">
        <w:t xml:space="preserve">: </w:t>
      </w:r>
      <w:hyperlink r:id="rId2" w:history="1">
        <w:r w:rsidR="00996ABE" w:rsidRPr="00FC5BD1">
          <w:rPr>
            <w:rStyle w:val="Hipervnculo"/>
          </w:rPr>
          <w:t>rmnavar@uaemex.mx</w:t>
        </w:r>
      </w:hyperlink>
      <w:r w:rsidR="00996ABE" w:rsidRPr="00FC5BD1">
        <w:t xml:space="preserve">, </w:t>
      </w:r>
      <w:r w:rsidR="00367AE3" w:rsidRPr="00FC5BD1">
        <w:t xml:space="preserve">ORCID: </w:t>
      </w:r>
      <w:hyperlink r:id="rId3" w:history="1">
        <w:r w:rsidR="00367AE3" w:rsidRPr="00FC5BD1">
          <w:rPr>
            <w:rStyle w:val="Hipervnculo"/>
          </w:rPr>
          <w:t>https://orcid.org/0000-0003-2611-3903</w:t>
        </w:r>
      </w:hyperlink>
    </w:p>
    <w:p w14:paraId="0F374601" w14:textId="77777777" w:rsidR="00760F24" w:rsidRPr="00760F24" w:rsidRDefault="00760F24">
      <w:pPr>
        <w:pStyle w:val="Textonotapie"/>
        <w:rPr>
          <w:lang w:val="es-C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BF6C" w14:textId="74683237" w:rsidR="00BC6DD8" w:rsidRPr="0064655D" w:rsidRDefault="00000000" w:rsidP="00BC6DD8">
    <w:pPr>
      <w:pStyle w:val="Sinespaciado"/>
      <w:rPr>
        <w:rFonts w:cs="Calibri"/>
        <w:sz w:val="20"/>
        <w:szCs w:val="20"/>
        <w:lang w:val="es-CR"/>
      </w:rPr>
    </w:pPr>
    <w:r>
      <w:rPr>
        <w:lang w:val="en-US"/>
      </w:rPr>
      <w:pict w14:anchorId="17D7D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412673" o:spid="_x0000_s1025" type="#_x0000_t136" style="position:absolute;margin-left:0;margin-top:0;width:453.1pt;height:169.9pt;rotation:315;z-index:-251657728;mso-position-horizontal:center;mso-position-horizontal-relative:margin;mso-position-vertical:center;mso-position-vertical-relative:margin" o:allowincell="f" fillcolor="silver" stroked="f">
          <v:fill opacity=".5"/>
          <v:textpath style="font-family:&quot;Calibri&quot;;font-size:1pt" string="Pre-print"/>
          <w10:wrap anchorx="margin" anchory="margin"/>
        </v:shape>
      </w:pict>
    </w:r>
    <w:r w:rsidR="00BC6DD8" w:rsidRPr="00FC5BD1">
      <w:rPr>
        <w:noProof/>
        <w:lang w:val="en-US"/>
      </w:rPr>
      <w:drawing>
        <wp:anchor distT="0" distB="0" distL="133350" distR="114300" simplePos="0" relativeHeight="251656704" behindDoc="1" locked="0" layoutInCell="1" allowOverlap="1" wp14:anchorId="277BEAB7" wp14:editId="57E8324A">
          <wp:simplePos x="0" y="0"/>
          <wp:positionH relativeFrom="column">
            <wp:posOffset>4768215</wp:posOffset>
          </wp:positionH>
          <wp:positionV relativeFrom="paragraph">
            <wp:posOffset>-40005</wp:posOffset>
          </wp:positionV>
          <wp:extent cx="1371600" cy="485775"/>
          <wp:effectExtent l="0" t="0" r="0" b="9525"/>
          <wp:wrapNone/>
          <wp:docPr id="1030855055" name="Imagen 1030855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t="4219" r="4314" b="18642"/>
                  <a:stretch>
                    <a:fillRect/>
                  </a:stretch>
                </pic:blipFill>
                <pic:spPr bwMode="auto">
                  <a:xfrm>
                    <a:off x="0" y="0"/>
                    <a:ext cx="137160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BC6DD8" w:rsidRPr="0064655D">
      <w:rPr>
        <w:rFonts w:cs="Calibri"/>
        <w:sz w:val="20"/>
        <w:szCs w:val="20"/>
        <w:lang w:val="es-CR"/>
      </w:rPr>
      <w:t xml:space="preserve">Economía y Sociedad, Vol. </w:t>
    </w:r>
    <w:r w:rsidR="006C0DDE" w:rsidRPr="0064655D">
      <w:rPr>
        <w:rFonts w:cs="Calibri"/>
        <w:sz w:val="20"/>
        <w:szCs w:val="20"/>
        <w:lang w:val="es-CR"/>
      </w:rPr>
      <w:t>30</w:t>
    </w:r>
    <w:r w:rsidR="00BC6DD8" w:rsidRPr="0064655D">
      <w:rPr>
        <w:rFonts w:cs="Calibri"/>
        <w:sz w:val="20"/>
        <w:szCs w:val="20"/>
        <w:lang w:val="es-CR"/>
      </w:rPr>
      <w:t>, N. º 6</w:t>
    </w:r>
    <w:r w:rsidR="00CD18E8" w:rsidRPr="0064655D">
      <w:rPr>
        <w:rFonts w:cs="Calibri"/>
        <w:sz w:val="20"/>
        <w:szCs w:val="20"/>
        <w:lang w:val="es-CR"/>
      </w:rPr>
      <w:t>7</w:t>
    </w:r>
    <w:r w:rsidR="00BC6DD8" w:rsidRPr="0064655D">
      <w:rPr>
        <w:rFonts w:cs="Calibri"/>
        <w:sz w:val="20"/>
        <w:szCs w:val="20"/>
        <w:lang w:val="es-CR"/>
      </w:rPr>
      <w:t xml:space="preserve">, </w:t>
    </w:r>
    <w:r w:rsidR="00CD18E8" w:rsidRPr="0064655D">
      <w:rPr>
        <w:rFonts w:cs="Calibri"/>
        <w:sz w:val="20"/>
        <w:szCs w:val="20"/>
        <w:lang w:val="es-CR"/>
      </w:rPr>
      <w:t>enero - junio</w:t>
    </w:r>
    <w:r w:rsidR="00BC6DD8" w:rsidRPr="0064655D">
      <w:rPr>
        <w:rFonts w:cs="Calibri"/>
        <w:sz w:val="20"/>
        <w:szCs w:val="20"/>
        <w:lang w:val="es-CR"/>
      </w:rPr>
      <w:t xml:space="preserve"> 202</w:t>
    </w:r>
    <w:r w:rsidR="00CD18E8" w:rsidRPr="0064655D">
      <w:rPr>
        <w:rFonts w:cs="Calibri"/>
        <w:sz w:val="20"/>
        <w:szCs w:val="20"/>
        <w:lang w:val="es-CR"/>
      </w:rPr>
      <w:t>5</w:t>
    </w:r>
    <w:r w:rsidR="00BC6DD8" w:rsidRPr="0064655D">
      <w:rPr>
        <w:rFonts w:cs="Calibri"/>
        <w:sz w:val="20"/>
        <w:szCs w:val="20"/>
        <w:lang w:val="es-CR"/>
      </w:rPr>
      <w:t>, pp. 1-2</w:t>
    </w:r>
    <w:r w:rsidR="00CD18E8" w:rsidRPr="0064655D">
      <w:rPr>
        <w:rFonts w:cs="Calibri"/>
        <w:sz w:val="20"/>
        <w:szCs w:val="20"/>
        <w:lang w:val="es-CR"/>
      </w:rPr>
      <w:t>5</w:t>
    </w:r>
  </w:p>
  <w:p w14:paraId="536D69AD" w14:textId="77777777" w:rsidR="00BC6DD8" w:rsidRPr="0064655D" w:rsidRDefault="00BC6DD8" w:rsidP="00BC6DD8">
    <w:pPr>
      <w:pStyle w:val="Encabezado"/>
      <w:rPr>
        <w:rFonts w:cs="Calibri"/>
        <w:sz w:val="20"/>
        <w:szCs w:val="20"/>
        <w:lang w:val="de-DE"/>
      </w:rPr>
    </w:pPr>
    <w:r w:rsidRPr="00FC5BD1">
      <w:rPr>
        <w:noProof/>
      </w:rPr>
      <mc:AlternateContent>
        <mc:Choice Requires="wps">
          <w:drawing>
            <wp:anchor distT="0" distB="0" distL="114300" distR="114300" simplePos="0" relativeHeight="251657728" behindDoc="1" locked="0" layoutInCell="1" allowOverlap="1" wp14:anchorId="01DE297D" wp14:editId="42EA4367">
              <wp:simplePos x="0" y="0"/>
              <wp:positionH relativeFrom="column">
                <wp:posOffset>-1186815</wp:posOffset>
              </wp:positionH>
              <wp:positionV relativeFrom="paragraph">
                <wp:posOffset>178435</wp:posOffset>
              </wp:positionV>
              <wp:extent cx="6002655" cy="1270"/>
              <wp:effectExtent l="0" t="0" r="93345" b="113030"/>
              <wp:wrapNone/>
              <wp:docPr id="2" name="Forma lib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2655" cy="1270"/>
                      </a:xfrm>
                      <a:custGeom>
                        <a:avLst/>
                        <a:gdLst>
                          <a:gd name="T0" fmla="*/ 0 w 21600"/>
                          <a:gd name="T1" fmla="*/ 0 h 21600"/>
                          <a:gd name="T2" fmla="*/ 21600 w 21600"/>
                          <a:gd name="T3" fmla="*/ 21600 h 21600"/>
                        </a:gdLst>
                        <a:ahLst/>
                        <a:cxnLst>
                          <a:cxn ang="0">
                            <a:pos x="T0" y="T1"/>
                          </a:cxn>
                          <a:cxn ang="0">
                            <a:pos x="T2" y="T3"/>
                          </a:cxn>
                        </a:cxnLst>
                        <a:rect l="0" t="0" r="r" b="b"/>
                        <a:pathLst>
                          <a:path w="21600" h="21600">
                            <a:moveTo>
                              <a:pt x="0" y="0"/>
                            </a:moveTo>
                            <a:lnTo>
                              <a:pt x="21600" y="21600"/>
                            </a:lnTo>
                          </a:path>
                        </a:pathLst>
                      </a:custGeom>
                      <a:noFill/>
                      <a:ln w="12600">
                        <a:solidFill>
                          <a:srgbClr val="000000"/>
                        </a:solidFill>
                        <a:round/>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8DC7F" id="Forma libre: forma 2" o:spid="_x0000_s1026" style="position:absolute;margin-left:-93.45pt;margin-top:14.05pt;width:472.65pt;height:.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" path="m,l21600,21600e" filled="f" strokeweight=".35mm">
              <v:shadow on="t" opacity=".5" offset="6pt,6pt"/>
              <v:path arrowok="t" o:connecttype="custom" o:connectlocs="0,0;6002655,1270" o:connectangles="0,0"/>
            </v:shape>
          </w:pict>
        </mc:Fallback>
      </mc:AlternateContent>
    </w:r>
    <w:r w:rsidRPr="0064655D">
      <w:rPr>
        <w:rFonts w:cs="Calibri"/>
        <w:sz w:val="20"/>
        <w:szCs w:val="20"/>
        <w:lang w:val="de-DE"/>
      </w:rPr>
      <w:t>EISSN: 2215-3403   URL http://www.revistas.una.ac.cr/economia</w:t>
    </w:r>
  </w:p>
  <w:p w14:paraId="5B8FD5C4" w14:textId="0C46EBFC" w:rsidR="00D6423C" w:rsidRPr="0064655D" w:rsidRDefault="00D6423C" w:rsidP="00BC6DD8">
    <w:pPr>
      <w:pStyle w:val="Encabezado"/>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D5892"/>
    <w:multiLevelType w:val="multilevel"/>
    <w:tmpl w:val="42B6B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1F1120"/>
    <w:multiLevelType w:val="hybridMultilevel"/>
    <w:tmpl w:val="5D9C9AD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6CFE2AB6"/>
    <w:multiLevelType w:val="hybridMultilevel"/>
    <w:tmpl w:val="EFCC221A"/>
    <w:lvl w:ilvl="0" w:tplc="C6180AC4">
      <w:start w:val="1"/>
      <w:numFmt w:val="decimal"/>
      <w:lvlText w:val="%1."/>
      <w:lvlJc w:val="left"/>
      <w:pPr>
        <w:ind w:left="720" w:hanging="360"/>
      </w:pPr>
      <w:rPr>
        <w:b/>
        <w:b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2095399020">
    <w:abstractNumId w:val="1"/>
  </w:num>
  <w:num w:numId="2" w16cid:durableId="1986079485">
    <w:abstractNumId w:val="2"/>
  </w:num>
  <w:num w:numId="3" w16cid:durableId="1004625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E79"/>
    <w:rsid w:val="000174B3"/>
    <w:rsid w:val="00040575"/>
    <w:rsid w:val="00042405"/>
    <w:rsid w:val="00043295"/>
    <w:rsid w:val="000545D4"/>
    <w:rsid w:val="00057516"/>
    <w:rsid w:val="00062483"/>
    <w:rsid w:val="00064E79"/>
    <w:rsid w:val="00067795"/>
    <w:rsid w:val="00076D43"/>
    <w:rsid w:val="000854FF"/>
    <w:rsid w:val="00092957"/>
    <w:rsid w:val="000C144C"/>
    <w:rsid w:val="000D1014"/>
    <w:rsid w:val="000D2399"/>
    <w:rsid w:val="000F3527"/>
    <w:rsid w:val="000F7EAB"/>
    <w:rsid w:val="00103B11"/>
    <w:rsid w:val="001210B4"/>
    <w:rsid w:val="00123CBB"/>
    <w:rsid w:val="00134D01"/>
    <w:rsid w:val="00134E5B"/>
    <w:rsid w:val="00135B35"/>
    <w:rsid w:val="00137B66"/>
    <w:rsid w:val="00140481"/>
    <w:rsid w:val="00156497"/>
    <w:rsid w:val="0015695E"/>
    <w:rsid w:val="0019150F"/>
    <w:rsid w:val="001948AD"/>
    <w:rsid w:val="001A1FBD"/>
    <w:rsid w:val="001B3978"/>
    <w:rsid w:val="001B53BF"/>
    <w:rsid w:val="001B6EBD"/>
    <w:rsid w:val="001C3DF1"/>
    <w:rsid w:val="001D7591"/>
    <w:rsid w:val="001F2117"/>
    <w:rsid w:val="00204B16"/>
    <w:rsid w:val="002121C4"/>
    <w:rsid w:val="00223A05"/>
    <w:rsid w:val="00225B46"/>
    <w:rsid w:val="002266E0"/>
    <w:rsid w:val="00232030"/>
    <w:rsid w:val="002427F4"/>
    <w:rsid w:val="0025189E"/>
    <w:rsid w:val="00261D8C"/>
    <w:rsid w:val="00262E4C"/>
    <w:rsid w:val="00263601"/>
    <w:rsid w:val="00263BA6"/>
    <w:rsid w:val="00273C8E"/>
    <w:rsid w:val="00290A22"/>
    <w:rsid w:val="002B5F13"/>
    <w:rsid w:val="002D21B0"/>
    <w:rsid w:val="002E20B2"/>
    <w:rsid w:val="00317278"/>
    <w:rsid w:val="003241AD"/>
    <w:rsid w:val="0033496D"/>
    <w:rsid w:val="00355275"/>
    <w:rsid w:val="00367AE3"/>
    <w:rsid w:val="00371711"/>
    <w:rsid w:val="003720C5"/>
    <w:rsid w:val="00372EB7"/>
    <w:rsid w:val="00376770"/>
    <w:rsid w:val="0038699D"/>
    <w:rsid w:val="0039050A"/>
    <w:rsid w:val="003B0052"/>
    <w:rsid w:val="003C06D5"/>
    <w:rsid w:val="003C3D5A"/>
    <w:rsid w:val="003C4661"/>
    <w:rsid w:val="003D18A3"/>
    <w:rsid w:val="003D1E21"/>
    <w:rsid w:val="003E4ED2"/>
    <w:rsid w:val="003F31C9"/>
    <w:rsid w:val="003F3815"/>
    <w:rsid w:val="003F6C5A"/>
    <w:rsid w:val="00410A4E"/>
    <w:rsid w:val="004118C6"/>
    <w:rsid w:val="00420E32"/>
    <w:rsid w:val="004471E6"/>
    <w:rsid w:val="00454AA0"/>
    <w:rsid w:val="004559B1"/>
    <w:rsid w:val="00462746"/>
    <w:rsid w:val="0046585D"/>
    <w:rsid w:val="00473127"/>
    <w:rsid w:val="00477B55"/>
    <w:rsid w:val="004B1D4C"/>
    <w:rsid w:val="004D09A7"/>
    <w:rsid w:val="004E16C2"/>
    <w:rsid w:val="004E2CEC"/>
    <w:rsid w:val="004E44A1"/>
    <w:rsid w:val="004E456A"/>
    <w:rsid w:val="00526D9D"/>
    <w:rsid w:val="005521F5"/>
    <w:rsid w:val="0056071F"/>
    <w:rsid w:val="00560991"/>
    <w:rsid w:val="00564229"/>
    <w:rsid w:val="00587209"/>
    <w:rsid w:val="005A3CF9"/>
    <w:rsid w:val="005A722E"/>
    <w:rsid w:val="005C413B"/>
    <w:rsid w:val="005F1685"/>
    <w:rsid w:val="005F1F48"/>
    <w:rsid w:val="005F4E60"/>
    <w:rsid w:val="006140E4"/>
    <w:rsid w:val="006337F5"/>
    <w:rsid w:val="00634AEA"/>
    <w:rsid w:val="00641890"/>
    <w:rsid w:val="0064655D"/>
    <w:rsid w:val="006466CB"/>
    <w:rsid w:val="00654238"/>
    <w:rsid w:val="00656826"/>
    <w:rsid w:val="006774E6"/>
    <w:rsid w:val="00677C2C"/>
    <w:rsid w:val="006C0DDE"/>
    <w:rsid w:val="006C510B"/>
    <w:rsid w:val="006D33F2"/>
    <w:rsid w:val="006D557E"/>
    <w:rsid w:val="006F37F1"/>
    <w:rsid w:val="006F687C"/>
    <w:rsid w:val="00720ED9"/>
    <w:rsid w:val="00733876"/>
    <w:rsid w:val="00750261"/>
    <w:rsid w:val="007541A8"/>
    <w:rsid w:val="00760F24"/>
    <w:rsid w:val="00763A15"/>
    <w:rsid w:val="00791226"/>
    <w:rsid w:val="007A0046"/>
    <w:rsid w:val="008049F0"/>
    <w:rsid w:val="00811254"/>
    <w:rsid w:val="008459EE"/>
    <w:rsid w:val="00855AA7"/>
    <w:rsid w:val="0085651D"/>
    <w:rsid w:val="00870C34"/>
    <w:rsid w:val="008711CA"/>
    <w:rsid w:val="00872AD8"/>
    <w:rsid w:val="008819CB"/>
    <w:rsid w:val="00890B66"/>
    <w:rsid w:val="008C0711"/>
    <w:rsid w:val="008D2DFC"/>
    <w:rsid w:val="008E113E"/>
    <w:rsid w:val="008F0FB4"/>
    <w:rsid w:val="008F6F85"/>
    <w:rsid w:val="0094024E"/>
    <w:rsid w:val="0095245A"/>
    <w:rsid w:val="0095463D"/>
    <w:rsid w:val="0096343A"/>
    <w:rsid w:val="0098746C"/>
    <w:rsid w:val="00996ABE"/>
    <w:rsid w:val="00997095"/>
    <w:rsid w:val="009A2517"/>
    <w:rsid w:val="009B1A8A"/>
    <w:rsid w:val="009C02F7"/>
    <w:rsid w:val="009E4B29"/>
    <w:rsid w:val="00A040FF"/>
    <w:rsid w:val="00A04D9D"/>
    <w:rsid w:val="00A05D92"/>
    <w:rsid w:val="00A41032"/>
    <w:rsid w:val="00A43EB6"/>
    <w:rsid w:val="00A47570"/>
    <w:rsid w:val="00A902FF"/>
    <w:rsid w:val="00A93830"/>
    <w:rsid w:val="00A94C5E"/>
    <w:rsid w:val="00A97CE3"/>
    <w:rsid w:val="00AB3B0C"/>
    <w:rsid w:val="00AB5E9A"/>
    <w:rsid w:val="00AB69C5"/>
    <w:rsid w:val="00AB7E9C"/>
    <w:rsid w:val="00AC352C"/>
    <w:rsid w:val="00AE3F61"/>
    <w:rsid w:val="00AF76C3"/>
    <w:rsid w:val="00B07ED7"/>
    <w:rsid w:val="00B121B4"/>
    <w:rsid w:val="00B2252D"/>
    <w:rsid w:val="00B236FB"/>
    <w:rsid w:val="00B42AC7"/>
    <w:rsid w:val="00B53F79"/>
    <w:rsid w:val="00B67EB8"/>
    <w:rsid w:val="00B72F67"/>
    <w:rsid w:val="00B81F47"/>
    <w:rsid w:val="00BC6DD8"/>
    <w:rsid w:val="00BE350B"/>
    <w:rsid w:val="00C142F0"/>
    <w:rsid w:val="00C2446C"/>
    <w:rsid w:val="00C306F9"/>
    <w:rsid w:val="00C42387"/>
    <w:rsid w:val="00C45B5F"/>
    <w:rsid w:val="00C505EF"/>
    <w:rsid w:val="00C55D50"/>
    <w:rsid w:val="00C64977"/>
    <w:rsid w:val="00C72302"/>
    <w:rsid w:val="00C81F00"/>
    <w:rsid w:val="00C97B4B"/>
    <w:rsid w:val="00CB0868"/>
    <w:rsid w:val="00CB1043"/>
    <w:rsid w:val="00CD18E8"/>
    <w:rsid w:val="00CD2F0F"/>
    <w:rsid w:val="00CD4BCE"/>
    <w:rsid w:val="00CE612A"/>
    <w:rsid w:val="00CF5203"/>
    <w:rsid w:val="00D14140"/>
    <w:rsid w:val="00D2280A"/>
    <w:rsid w:val="00D23A1A"/>
    <w:rsid w:val="00D26B3C"/>
    <w:rsid w:val="00D34697"/>
    <w:rsid w:val="00D6423C"/>
    <w:rsid w:val="00D715CF"/>
    <w:rsid w:val="00D83B34"/>
    <w:rsid w:val="00D85E8E"/>
    <w:rsid w:val="00D86030"/>
    <w:rsid w:val="00D871CA"/>
    <w:rsid w:val="00DB7C4C"/>
    <w:rsid w:val="00DC23AA"/>
    <w:rsid w:val="00DC298F"/>
    <w:rsid w:val="00DD04A2"/>
    <w:rsid w:val="00DE6DEE"/>
    <w:rsid w:val="00DF6005"/>
    <w:rsid w:val="00E05643"/>
    <w:rsid w:val="00E06947"/>
    <w:rsid w:val="00E341C8"/>
    <w:rsid w:val="00E55C40"/>
    <w:rsid w:val="00E66612"/>
    <w:rsid w:val="00E83146"/>
    <w:rsid w:val="00EA3305"/>
    <w:rsid w:val="00EA7904"/>
    <w:rsid w:val="00EB05CD"/>
    <w:rsid w:val="00EC0F8F"/>
    <w:rsid w:val="00ED0051"/>
    <w:rsid w:val="00ED2B55"/>
    <w:rsid w:val="00EE19A6"/>
    <w:rsid w:val="00F31A4F"/>
    <w:rsid w:val="00F35F62"/>
    <w:rsid w:val="00F42D43"/>
    <w:rsid w:val="00F575A6"/>
    <w:rsid w:val="00F6165A"/>
    <w:rsid w:val="00F64C21"/>
    <w:rsid w:val="00F66957"/>
    <w:rsid w:val="00F80155"/>
    <w:rsid w:val="00F82F15"/>
    <w:rsid w:val="00FA617E"/>
    <w:rsid w:val="00FB3474"/>
    <w:rsid w:val="00FC5BD1"/>
    <w:rsid w:val="00FD2688"/>
    <w:rsid w:val="00FD3DF6"/>
    <w:rsid w:val="00FD59BA"/>
    <w:rsid w:val="00FD73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12F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1">
    <w:name w:val="heading 1"/>
    <w:basedOn w:val="Normal"/>
    <w:next w:val="Normal"/>
    <w:link w:val="Ttulo1Car"/>
    <w:uiPriority w:val="9"/>
    <w:qFormat/>
    <w:rsid w:val="00CB0868"/>
    <w:pPr>
      <w:keepNext/>
      <w:keepLines/>
      <w:spacing w:before="360" w:after="120" w:line="360" w:lineRule="auto"/>
      <w:outlineLvl w:val="0"/>
    </w:pPr>
    <w:rPr>
      <w:rFonts w:eastAsiaTheme="majorEastAsia" w:cstheme="majorBidi"/>
      <w:b/>
      <w:color w:val="000000" w:themeColor="text1"/>
      <w:szCs w:val="32"/>
    </w:rPr>
  </w:style>
  <w:style w:type="paragraph" w:styleId="Ttulo3">
    <w:name w:val="heading 3"/>
    <w:basedOn w:val="Normal"/>
    <w:next w:val="Normal"/>
    <w:link w:val="Ttulo3Car"/>
    <w:uiPriority w:val="9"/>
    <w:unhideWhenUsed/>
    <w:qFormat/>
    <w:rsid w:val="00225B46"/>
    <w:pPr>
      <w:spacing w:before="160" w:after="120" w:line="276" w:lineRule="auto"/>
      <w:jc w:val="both"/>
      <w:outlineLvl w:val="2"/>
    </w:pPr>
    <w:rPr>
      <w:rFonts w:ascii="Helvetica Neue" w:eastAsia="Times New Roman" w:hAnsi="Helvetica Neue" w:cs="Times New Roman"/>
      <w:sz w:val="32"/>
      <w:szCs w:val="32"/>
      <w:lang w:val="es-E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064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064E79"/>
    <w:rPr>
      <w:rFonts w:ascii="Courier New" w:eastAsia="Times New Roman" w:hAnsi="Courier New" w:cs="Courier New"/>
      <w:sz w:val="20"/>
      <w:szCs w:val="20"/>
      <w:lang w:eastAsia="es-MX"/>
    </w:rPr>
  </w:style>
  <w:style w:type="character" w:customStyle="1" w:styleId="y2iqfc">
    <w:name w:val="y2iqfc"/>
    <w:basedOn w:val="Fuentedeprrafopredeter"/>
    <w:rsid w:val="00064E79"/>
  </w:style>
  <w:style w:type="character" w:customStyle="1" w:styleId="Ttulo3Car">
    <w:name w:val="Título 3 Car"/>
    <w:basedOn w:val="Fuentedeprrafopredeter"/>
    <w:link w:val="Ttulo3"/>
    <w:uiPriority w:val="9"/>
    <w:rsid w:val="00225B46"/>
    <w:rPr>
      <w:rFonts w:ascii="Helvetica Neue" w:eastAsia="Times New Roman" w:hAnsi="Helvetica Neue" w:cs="Times New Roman"/>
      <w:sz w:val="32"/>
      <w:szCs w:val="32"/>
      <w:lang w:val="es-ES" w:bidi="en-US"/>
    </w:rPr>
  </w:style>
  <w:style w:type="character" w:styleId="Hipervnculo">
    <w:name w:val="Hyperlink"/>
    <w:basedOn w:val="Fuentedeprrafopredeter"/>
    <w:uiPriority w:val="99"/>
    <w:unhideWhenUsed/>
    <w:rsid w:val="00225B46"/>
    <w:rPr>
      <w:color w:val="0563C1" w:themeColor="hyperlink"/>
      <w:u w:val="single"/>
    </w:rPr>
  </w:style>
  <w:style w:type="paragraph" w:styleId="Piedepgina">
    <w:name w:val="footer"/>
    <w:basedOn w:val="Normal"/>
    <w:link w:val="PiedepginaCar"/>
    <w:uiPriority w:val="99"/>
    <w:unhideWhenUsed/>
    <w:rsid w:val="00FD59BA"/>
    <w:pPr>
      <w:tabs>
        <w:tab w:val="center" w:pos="4419"/>
        <w:tab w:val="right" w:pos="8838"/>
      </w:tabs>
    </w:pPr>
  </w:style>
  <w:style w:type="character" w:customStyle="1" w:styleId="PiedepginaCar">
    <w:name w:val="Pie de página Car"/>
    <w:basedOn w:val="Fuentedeprrafopredeter"/>
    <w:link w:val="Piedepgina"/>
    <w:uiPriority w:val="99"/>
    <w:rsid w:val="00FD59BA"/>
  </w:style>
  <w:style w:type="character" w:styleId="Nmerodepgina">
    <w:name w:val="page number"/>
    <w:basedOn w:val="Fuentedeprrafopredeter"/>
    <w:uiPriority w:val="99"/>
    <w:semiHidden/>
    <w:unhideWhenUsed/>
    <w:rsid w:val="00FD59BA"/>
  </w:style>
  <w:style w:type="character" w:styleId="Mencinsinresolver">
    <w:name w:val="Unresolved Mention"/>
    <w:basedOn w:val="Fuentedeprrafopredeter"/>
    <w:uiPriority w:val="99"/>
    <w:semiHidden/>
    <w:unhideWhenUsed/>
    <w:rsid w:val="00103B11"/>
    <w:rPr>
      <w:color w:val="605E5C"/>
      <w:shd w:val="clear" w:color="auto" w:fill="E1DFDD"/>
    </w:rPr>
  </w:style>
  <w:style w:type="paragraph" w:styleId="Encabezado">
    <w:name w:val="header"/>
    <w:basedOn w:val="Normal"/>
    <w:link w:val="EncabezadoCar"/>
    <w:uiPriority w:val="99"/>
    <w:unhideWhenUsed/>
    <w:rsid w:val="00D6423C"/>
    <w:pPr>
      <w:tabs>
        <w:tab w:val="center" w:pos="4419"/>
        <w:tab w:val="right" w:pos="8838"/>
      </w:tabs>
    </w:pPr>
  </w:style>
  <w:style w:type="character" w:customStyle="1" w:styleId="EncabezadoCar">
    <w:name w:val="Encabezado Car"/>
    <w:basedOn w:val="Fuentedeprrafopredeter"/>
    <w:link w:val="Encabezado"/>
    <w:uiPriority w:val="99"/>
    <w:rsid w:val="00D6423C"/>
  </w:style>
  <w:style w:type="paragraph" w:styleId="Sinespaciado">
    <w:name w:val="No Spacing"/>
    <w:aliases w:val="AAAAAAAAAAA"/>
    <w:link w:val="SinespaciadoCar"/>
    <w:uiPriority w:val="1"/>
    <w:qFormat/>
    <w:rsid w:val="00376770"/>
    <w:rPr>
      <w:sz w:val="22"/>
      <w:szCs w:val="22"/>
      <w:lang w:val="es-ES"/>
    </w:rPr>
  </w:style>
  <w:style w:type="character" w:customStyle="1" w:styleId="anchor-text">
    <w:name w:val="anchor-text"/>
    <w:basedOn w:val="Fuentedeprrafopredeter"/>
    <w:rsid w:val="004E16C2"/>
  </w:style>
  <w:style w:type="paragraph" w:styleId="Prrafodelista">
    <w:name w:val="List Paragraph"/>
    <w:basedOn w:val="Normal"/>
    <w:uiPriority w:val="34"/>
    <w:qFormat/>
    <w:rsid w:val="00CB0868"/>
    <w:pPr>
      <w:ind w:left="720"/>
      <w:contextualSpacing/>
    </w:pPr>
  </w:style>
  <w:style w:type="character" w:customStyle="1" w:styleId="Ttulo1Car">
    <w:name w:val="Título 1 Car"/>
    <w:basedOn w:val="Fuentedeprrafopredeter"/>
    <w:link w:val="Ttulo1"/>
    <w:uiPriority w:val="9"/>
    <w:rsid w:val="00CB0868"/>
    <w:rPr>
      <w:rFonts w:eastAsiaTheme="majorEastAsia" w:cstheme="majorBidi"/>
      <w:b/>
      <w:color w:val="000000" w:themeColor="text1"/>
      <w:szCs w:val="32"/>
    </w:rPr>
  </w:style>
  <w:style w:type="paragraph" w:styleId="Textonotapie">
    <w:name w:val="footnote text"/>
    <w:basedOn w:val="Normal"/>
    <w:link w:val="TextonotapieCar"/>
    <w:uiPriority w:val="99"/>
    <w:semiHidden/>
    <w:unhideWhenUsed/>
    <w:rsid w:val="00760F24"/>
    <w:rPr>
      <w:sz w:val="20"/>
      <w:szCs w:val="20"/>
    </w:rPr>
  </w:style>
  <w:style w:type="character" w:customStyle="1" w:styleId="TextonotapieCar">
    <w:name w:val="Texto nota pie Car"/>
    <w:basedOn w:val="Fuentedeprrafopredeter"/>
    <w:link w:val="Textonotapie"/>
    <w:uiPriority w:val="99"/>
    <w:semiHidden/>
    <w:rsid w:val="00760F24"/>
    <w:rPr>
      <w:sz w:val="20"/>
      <w:szCs w:val="20"/>
    </w:rPr>
  </w:style>
  <w:style w:type="character" w:styleId="Refdenotaalpie">
    <w:name w:val="footnote reference"/>
    <w:basedOn w:val="Fuentedeprrafopredeter"/>
    <w:uiPriority w:val="99"/>
    <w:semiHidden/>
    <w:unhideWhenUsed/>
    <w:rsid w:val="00760F24"/>
    <w:rPr>
      <w:vertAlign w:val="superscript"/>
    </w:rPr>
  </w:style>
  <w:style w:type="character" w:customStyle="1" w:styleId="SinespaciadoCar">
    <w:name w:val="Sin espaciado Car"/>
    <w:aliases w:val="AAAAAAAAAAA Car"/>
    <w:link w:val="Sinespaciado"/>
    <w:uiPriority w:val="1"/>
    <w:rsid w:val="00BC6DD8"/>
    <w:rPr>
      <w:sz w:val="22"/>
      <w:szCs w:val="22"/>
      <w:lang w:val="es-ES"/>
    </w:rPr>
  </w:style>
  <w:style w:type="character" w:customStyle="1" w:styleId="EnlacedeInternet">
    <w:name w:val="Enlace de Internet"/>
    <w:uiPriority w:val="99"/>
    <w:unhideWhenUsed/>
    <w:rsid w:val="00677C2C"/>
    <w:rPr>
      <w:rFonts w:ascii="Calibri" w:hAnsi="Calibri"/>
      <w:color w:val="0000FF"/>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93867">
      <w:bodyDiv w:val="1"/>
      <w:marLeft w:val="0"/>
      <w:marRight w:val="0"/>
      <w:marTop w:val="0"/>
      <w:marBottom w:val="0"/>
      <w:divBdr>
        <w:top w:val="none" w:sz="0" w:space="0" w:color="auto"/>
        <w:left w:val="none" w:sz="0" w:space="0" w:color="auto"/>
        <w:bottom w:val="none" w:sz="0" w:space="0" w:color="auto"/>
        <w:right w:val="none" w:sz="0" w:space="0" w:color="auto"/>
      </w:divBdr>
    </w:div>
    <w:div w:id="371535793">
      <w:bodyDiv w:val="1"/>
      <w:marLeft w:val="0"/>
      <w:marRight w:val="0"/>
      <w:marTop w:val="0"/>
      <w:marBottom w:val="0"/>
      <w:divBdr>
        <w:top w:val="none" w:sz="0" w:space="0" w:color="auto"/>
        <w:left w:val="none" w:sz="0" w:space="0" w:color="auto"/>
        <w:bottom w:val="none" w:sz="0" w:space="0" w:color="auto"/>
        <w:right w:val="none" w:sz="0" w:space="0" w:color="auto"/>
      </w:divBdr>
    </w:div>
    <w:div w:id="386807020">
      <w:bodyDiv w:val="1"/>
      <w:marLeft w:val="0"/>
      <w:marRight w:val="0"/>
      <w:marTop w:val="0"/>
      <w:marBottom w:val="0"/>
      <w:divBdr>
        <w:top w:val="none" w:sz="0" w:space="0" w:color="auto"/>
        <w:left w:val="none" w:sz="0" w:space="0" w:color="auto"/>
        <w:bottom w:val="none" w:sz="0" w:space="0" w:color="auto"/>
        <w:right w:val="none" w:sz="0" w:space="0" w:color="auto"/>
      </w:divBdr>
    </w:div>
    <w:div w:id="437650394">
      <w:bodyDiv w:val="1"/>
      <w:marLeft w:val="0"/>
      <w:marRight w:val="0"/>
      <w:marTop w:val="0"/>
      <w:marBottom w:val="0"/>
      <w:divBdr>
        <w:top w:val="none" w:sz="0" w:space="0" w:color="auto"/>
        <w:left w:val="none" w:sz="0" w:space="0" w:color="auto"/>
        <w:bottom w:val="none" w:sz="0" w:space="0" w:color="auto"/>
        <w:right w:val="none" w:sz="0" w:space="0" w:color="auto"/>
      </w:divBdr>
      <w:divsChild>
        <w:div w:id="218253557">
          <w:marLeft w:val="0"/>
          <w:marRight w:val="0"/>
          <w:marTop w:val="0"/>
          <w:marBottom w:val="0"/>
          <w:divBdr>
            <w:top w:val="none" w:sz="0" w:space="0" w:color="auto"/>
            <w:left w:val="none" w:sz="0" w:space="0" w:color="auto"/>
            <w:bottom w:val="none" w:sz="0" w:space="0" w:color="auto"/>
            <w:right w:val="none" w:sz="0" w:space="0" w:color="auto"/>
          </w:divBdr>
        </w:div>
      </w:divsChild>
    </w:div>
    <w:div w:id="475611844">
      <w:bodyDiv w:val="1"/>
      <w:marLeft w:val="0"/>
      <w:marRight w:val="0"/>
      <w:marTop w:val="0"/>
      <w:marBottom w:val="0"/>
      <w:divBdr>
        <w:top w:val="none" w:sz="0" w:space="0" w:color="auto"/>
        <w:left w:val="none" w:sz="0" w:space="0" w:color="auto"/>
        <w:bottom w:val="none" w:sz="0" w:space="0" w:color="auto"/>
        <w:right w:val="none" w:sz="0" w:space="0" w:color="auto"/>
      </w:divBdr>
    </w:div>
    <w:div w:id="833104546">
      <w:bodyDiv w:val="1"/>
      <w:marLeft w:val="0"/>
      <w:marRight w:val="0"/>
      <w:marTop w:val="0"/>
      <w:marBottom w:val="0"/>
      <w:divBdr>
        <w:top w:val="none" w:sz="0" w:space="0" w:color="auto"/>
        <w:left w:val="none" w:sz="0" w:space="0" w:color="auto"/>
        <w:bottom w:val="none" w:sz="0" w:space="0" w:color="auto"/>
        <w:right w:val="none" w:sz="0" w:space="0" w:color="auto"/>
      </w:divBdr>
    </w:div>
    <w:div w:id="873810828">
      <w:bodyDiv w:val="1"/>
      <w:marLeft w:val="0"/>
      <w:marRight w:val="0"/>
      <w:marTop w:val="0"/>
      <w:marBottom w:val="0"/>
      <w:divBdr>
        <w:top w:val="none" w:sz="0" w:space="0" w:color="auto"/>
        <w:left w:val="none" w:sz="0" w:space="0" w:color="auto"/>
        <w:bottom w:val="none" w:sz="0" w:space="0" w:color="auto"/>
        <w:right w:val="none" w:sz="0" w:space="0" w:color="auto"/>
      </w:divBdr>
    </w:div>
    <w:div w:id="973215819">
      <w:bodyDiv w:val="1"/>
      <w:marLeft w:val="0"/>
      <w:marRight w:val="0"/>
      <w:marTop w:val="0"/>
      <w:marBottom w:val="0"/>
      <w:divBdr>
        <w:top w:val="none" w:sz="0" w:space="0" w:color="auto"/>
        <w:left w:val="none" w:sz="0" w:space="0" w:color="auto"/>
        <w:bottom w:val="none" w:sz="0" w:space="0" w:color="auto"/>
        <w:right w:val="none" w:sz="0" w:space="0" w:color="auto"/>
      </w:divBdr>
    </w:div>
    <w:div w:id="1543977760">
      <w:bodyDiv w:val="1"/>
      <w:marLeft w:val="0"/>
      <w:marRight w:val="0"/>
      <w:marTop w:val="0"/>
      <w:marBottom w:val="0"/>
      <w:divBdr>
        <w:top w:val="none" w:sz="0" w:space="0" w:color="auto"/>
        <w:left w:val="none" w:sz="0" w:space="0" w:color="auto"/>
        <w:bottom w:val="none" w:sz="0" w:space="0" w:color="auto"/>
        <w:right w:val="none" w:sz="0" w:space="0" w:color="auto"/>
      </w:divBdr>
    </w:div>
    <w:div w:id="1798520951">
      <w:bodyDiv w:val="1"/>
      <w:marLeft w:val="0"/>
      <w:marRight w:val="0"/>
      <w:marTop w:val="0"/>
      <w:marBottom w:val="0"/>
      <w:divBdr>
        <w:top w:val="none" w:sz="0" w:space="0" w:color="auto"/>
        <w:left w:val="none" w:sz="0" w:space="0" w:color="auto"/>
        <w:bottom w:val="none" w:sz="0" w:space="0" w:color="auto"/>
        <w:right w:val="none" w:sz="0" w:space="0" w:color="auto"/>
      </w:divBdr>
    </w:div>
    <w:div w:id="197664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hyperlink" Target="https://doi.org/10.1016/0749-5978(91)90020-T" TargetMode="External"/><Relationship Id="rId26" Type="http://schemas.openxmlformats.org/officeDocument/2006/relationships/hyperlink" Target="http://www.transformations.knf.vu.lt/47/article/hows" TargetMode="External"/><Relationship Id="rId39" Type="http://schemas.openxmlformats.org/officeDocument/2006/relationships/hyperlink" Target="https://doi.org/10.52080/rvgluz.26.96.24" TargetMode="External"/><Relationship Id="rId21" Type="http://schemas.openxmlformats.org/officeDocument/2006/relationships/hyperlink" Target="https://doi.org/10.1016/j.jenvp.2006.12.002" TargetMode="External"/><Relationship Id="rId34" Type="http://schemas.openxmlformats.org/officeDocument/2006/relationships/hyperlink" Target="https://doi.org/10.1007/s10551-019-04416-0" TargetMode="External"/><Relationship Id="rId42" Type="http://schemas.openxmlformats.org/officeDocument/2006/relationships/hyperlink" Target="https://www.redalyc.org/pdf/325/32512739009.pdf" TargetMode="External"/><Relationship Id="rId47" Type="http://schemas.openxmlformats.org/officeDocument/2006/relationships/hyperlink" Target="https://doi.org/10.1016/S2095-3119(17)61814-8" TargetMode="External"/><Relationship Id="rId50" Type="http://schemas.openxmlformats.org/officeDocument/2006/relationships/hyperlink" Target="https://doi.org/10.1016/j.jclepro.2018.09.172"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hyperlink" Target="https://doi.org/10.1016/j.jenvman.2006.03.007" TargetMode="External"/><Relationship Id="rId11" Type="http://schemas.openxmlformats.org/officeDocument/2006/relationships/image" Target="media/image4.emf"/><Relationship Id="rId24" Type="http://schemas.openxmlformats.org/officeDocument/2006/relationships/hyperlink" Target="https://doi.org/10.1016/j.jtrangeo.2006.11.006" TargetMode="External"/><Relationship Id="rId32" Type="http://schemas.openxmlformats.org/officeDocument/2006/relationships/hyperlink" Target="https://doi.org/10.1080/08961530.2016.1251870" TargetMode="External"/><Relationship Id="rId37" Type="http://schemas.openxmlformats.org/officeDocument/2006/relationships/hyperlink" Target="https://doi.org/10.1002/tqem.21538" TargetMode="External"/><Relationship Id="rId40" Type="http://schemas.openxmlformats.org/officeDocument/2006/relationships/hyperlink" Target="https://doi.org/10.24054/01204211.v1.n1.2020.468" TargetMode="External"/><Relationship Id="rId45" Type="http://schemas.openxmlformats.org/officeDocument/2006/relationships/hyperlink" Target="https://doi.org/10.1362/026725700784683672"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19" Type="http://schemas.openxmlformats.org/officeDocument/2006/relationships/hyperlink" Target="https://doi.org/10.1007/s11356-021-14612-z" TargetMode="External"/><Relationship Id="rId31" Type="http://schemas.openxmlformats.org/officeDocument/2006/relationships/hyperlink" Target="https://doi.org/10.1016/j.jclepro.2018.03.040" TargetMode="External"/><Relationship Id="rId44" Type="http://schemas.openxmlformats.org/officeDocument/2006/relationships/hyperlink" Target="http://dx.doi.org/10.17010/ijom%2F2020%2Fv50%2Fi3%2F151029"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yperlink" Target="https://doi.org/10.3389/fnut.2021.622122" TargetMode="External"/><Relationship Id="rId27" Type="http://schemas.openxmlformats.org/officeDocument/2006/relationships/hyperlink" Target="https://doi.org/10.3390/jrfm13070152" TargetMode="External"/><Relationship Id="rId30" Type="http://schemas.openxmlformats.org/officeDocument/2006/relationships/hyperlink" Target="https://doi.org/10.1177/2051570709024003" TargetMode="External"/><Relationship Id="rId35" Type="http://schemas.openxmlformats.org/officeDocument/2006/relationships/hyperlink" Target="http://ndl.ethernet.edu.et/bitstream/123456789/26586/1/40.pdf.pdf" TargetMode="External"/><Relationship Id="rId43" Type="http://schemas.openxmlformats.org/officeDocument/2006/relationships/hyperlink" Target="https://doi.org/10.1016/j.jclepro.2020.124947" TargetMode="External"/><Relationship Id="rId48" Type="http://schemas.openxmlformats.org/officeDocument/2006/relationships/hyperlink" Target="https://www2.toluca.gob.mx/wp-content/uploads/2022/02/num-muni-2021pdf.pdf" TargetMode="External"/><Relationship Id="rId56"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hyperlink" Target="https://doi.org/10.1002/bse.2270" TargetMode="Externa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hyperlink" Target="http://dx.doi.org/10.4067/S0718-07642022000400181" TargetMode="External"/><Relationship Id="rId25" Type="http://schemas.openxmlformats.org/officeDocument/2006/relationships/hyperlink" Target="https://doi.org/10.1080/15487733.2020.1740472" TargetMode="External"/><Relationship Id="rId33" Type="http://schemas.openxmlformats.org/officeDocument/2006/relationships/hyperlink" Target="https://doi.org/10.1080/03637751.2017.1352100" TargetMode="External"/><Relationship Id="rId38" Type="http://schemas.openxmlformats.org/officeDocument/2006/relationships/hyperlink" Target="https://doi.org/10.3390/su132413642" TargetMode="External"/><Relationship Id="rId46" Type="http://schemas.openxmlformats.org/officeDocument/2006/relationships/hyperlink" Target="http://dx.doi.org/10.1007/978-3-030-17523-8_7" TargetMode="External"/><Relationship Id="rId20" Type="http://schemas.openxmlformats.org/officeDocument/2006/relationships/hyperlink" Target="https://revistas.um.es/analesps/article/view/123201" TargetMode="External"/><Relationship Id="rId41" Type="http://schemas.openxmlformats.org/officeDocument/2006/relationships/hyperlink" Target="https://www.ecoembes.com/es/planeta-recicla/blog/nueve-actividades-humanas-que-generan-gases-de-efecto-invernadero"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hyperlink" Target="https://www.cerem.mx/blog/cuales-son-las-caracteristicas-de-los-usuarios-de-la-generacion-z" TargetMode="External"/><Relationship Id="rId28" Type="http://schemas.openxmlformats.org/officeDocument/2006/relationships/hyperlink" Target="http://dx.doi.org/10.15219/em74.1351" TargetMode="External"/><Relationship Id="rId36" Type="http://schemas.openxmlformats.org/officeDocument/2006/relationships/hyperlink" Target="https://doi.org/10.1016/j.ijpe.2016.04.001" TargetMode="External"/><Relationship Id="rId49" Type="http://schemas.openxmlformats.org/officeDocument/2006/relationships/hyperlink" Target="https://doi.org/10.1002/arcp.1045"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nc-sa/4.0/" TargetMode="External"/><Relationship Id="rId2" Type="http://schemas.openxmlformats.org/officeDocument/2006/relationships/hyperlink" Target="http://www.revistas.una.ac.cr/index.php/economia" TargetMode="External"/><Relationship Id="rId1" Type="http://schemas.openxmlformats.org/officeDocument/2006/relationships/image" Target="media/image11.png"/><Relationship Id="rId4" Type="http://schemas.openxmlformats.org/officeDocument/2006/relationships/hyperlink" Target="http://www.revistas.una.ac.cr/index.php/economi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3-2611-3903" TargetMode="External"/><Relationship Id="rId2" Type="http://schemas.openxmlformats.org/officeDocument/2006/relationships/hyperlink" Target="mailto:rmnavar@uaemex.mx" TargetMode="External"/><Relationship Id="rId1" Type="http://schemas.openxmlformats.org/officeDocument/2006/relationships/hyperlink" Target="https://doi.org/10.15359/eys.30-67.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D4AA6-C1E9-4FA1-AE88-6B1CE80B2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6381</Words>
  <Characters>35096</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2025-01-23T15:42:00Z</dcterms:created>
  <dcterms:modified xsi:type="dcterms:W3CDTF">2025-02-07T19:24:00Z</dcterms:modified>
</cp:coreProperties>
</file>