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8028" w14:textId="77777777" w:rsidR="00ED0864" w:rsidRPr="00E06B74" w:rsidRDefault="00ED0864" w:rsidP="003D0615">
      <w:pPr>
        <w:suppressAutoHyphens/>
        <w:spacing w:line="240" w:lineRule="auto"/>
        <w:jc w:val="both"/>
        <w:rPr>
          <w:rFonts w:ascii="Calibri" w:hAnsi="Calibri" w:cs="Calibri"/>
          <w:b/>
          <w:bCs/>
          <w:kern w:val="0"/>
          <w:sz w:val="36"/>
          <w:szCs w:val="36"/>
          <w14:ligatures w14:val="none"/>
        </w:rPr>
      </w:pPr>
      <w:bookmarkStart w:id="0" w:name="_Hlk180153242"/>
      <w:r w:rsidRPr="00E06B74">
        <w:rPr>
          <w:rFonts w:ascii="Calibri" w:hAnsi="Calibri" w:cs="Calibri"/>
          <w:b/>
          <w:bCs/>
          <w:kern w:val="0"/>
          <w:sz w:val="36"/>
          <w:szCs w:val="36"/>
          <w14:ligatures w14:val="none"/>
        </w:rPr>
        <w:t>Factores determinantes del flujo turístico en la Reserva de la Biosfera El Pinacate y Gran Desierto de Altar</w:t>
      </w:r>
    </w:p>
    <w:p w14:paraId="533F5825" w14:textId="77777777" w:rsidR="00ED0864" w:rsidRDefault="00ED0864" w:rsidP="003D0615">
      <w:pPr>
        <w:suppressAutoHyphens/>
        <w:spacing w:line="240" w:lineRule="auto"/>
        <w:jc w:val="both"/>
        <w:rPr>
          <w:rFonts w:ascii="Calibri" w:hAnsi="Calibri" w:cs="Calibri"/>
          <w:b/>
          <w:bCs/>
          <w:kern w:val="0"/>
          <w:sz w:val="36"/>
          <w:szCs w:val="36"/>
          <w:lang w:val="en-US"/>
          <w14:ligatures w14:val="none"/>
        </w:rPr>
      </w:pPr>
      <w:r w:rsidRPr="00E06B74">
        <w:rPr>
          <w:rFonts w:ascii="Calibri" w:hAnsi="Calibri" w:cs="Calibri"/>
          <w:b/>
          <w:bCs/>
          <w:kern w:val="0"/>
          <w:sz w:val="36"/>
          <w:szCs w:val="36"/>
          <w:lang w:val="en-US"/>
          <w14:ligatures w14:val="none"/>
        </w:rPr>
        <w:t>Determining factors of tourist flow in Pinacate y Gran Desierto de Altar Biosphere Reserve</w:t>
      </w:r>
    </w:p>
    <w:p w14:paraId="4461AC33" w14:textId="134A4693" w:rsidR="007F2CF3" w:rsidRPr="00297D44" w:rsidRDefault="007F2CF3" w:rsidP="003D0615">
      <w:pPr>
        <w:suppressAutoHyphens/>
        <w:spacing w:line="240" w:lineRule="auto"/>
        <w:jc w:val="both"/>
        <w:rPr>
          <w:rFonts w:ascii="Calibri" w:hAnsi="Calibri" w:cs="Calibri"/>
          <w:b/>
          <w:bCs/>
          <w:kern w:val="0"/>
          <w:sz w:val="36"/>
          <w:szCs w:val="36"/>
          <w:lang w:val="pt-BR"/>
          <w14:ligatures w14:val="none"/>
        </w:rPr>
      </w:pPr>
      <w:r w:rsidRPr="00297D44">
        <w:rPr>
          <w:rFonts w:ascii="Calibri" w:hAnsi="Calibri" w:cs="Calibri"/>
          <w:b/>
          <w:bCs/>
          <w:kern w:val="0"/>
          <w:sz w:val="36"/>
          <w:szCs w:val="36"/>
          <w:lang w:val="pt-BR"/>
          <w14:ligatures w14:val="none"/>
        </w:rPr>
        <w:t xml:space="preserve">Fatores determinantes do fluxo turístico na Reserva da Biosfera El </w:t>
      </w:r>
      <w:proofErr w:type="spellStart"/>
      <w:r w:rsidRPr="00297D44">
        <w:rPr>
          <w:rFonts w:ascii="Calibri" w:hAnsi="Calibri" w:cs="Calibri"/>
          <w:b/>
          <w:bCs/>
          <w:kern w:val="0"/>
          <w:sz w:val="36"/>
          <w:szCs w:val="36"/>
          <w:lang w:val="pt-BR"/>
          <w14:ligatures w14:val="none"/>
        </w:rPr>
        <w:t>Pinacate</w:t>
      </w:r>
      <w:proofErr w:type="spellEnd"/>
      <w:r w:rsidRPr="00297D44">
        <w:rPr>
          <w:rFonts w:ascii="Calibri" w:hAnsi="Calibri" w:cs="Calibri"/>
          <w:b/>
          <w:bCs/>
          <w:kern w:val="0"/>
          <w:sz w:val="36"/>
          <w:szCs w:val="36"/>
          <w:lang w:val="pt-BR"/>
          <w14:ligatures w14:val="none"/>
        </w:rPr>
        <w:t xml:space="preserve"> e Grande Deserto de Altar</w:t>
      </w:r>
    </w:p>
    <w:bookmarkEnd w:id="0"/>
    <w:p w14:paraId="24A70C39" w14:textId="41703D2F" w:rsidR="00C36AB8" w:rsidRDefault="006F29BF" w:rsidP="003D0615">
      <w:pPr>
        <w:suppressAutoHyphens/>
        <w:spacing w:line="240" w:lineRule="auto"/>
        <w:rPr>
          <w:rFonts w:ascii="Calibri" w:hAnsi="Calibri" w:cs="Calibri"/>
          <w:b/>
          <w:bCs/>
          <w:kern w:val="0"/>
          <w:sz w:val="24"/>
          <w:szCs w:val="24"/>
          <w:lang w:val="es-CR"/>
          <w14:ligatures w14:val="none"/>
        </w:rPr>
      </w:pPr>
      <w:r w:rsidRPr="006F29BF">
        <w:rPr>
          <w:rFonts w:ascii="Calibri" w:hAnsi="Calibri" w:cs="Calibri"/>
          <w:b/>
          <w:bCs/>
          <w:kern w:val="0"/>
          <w:sz w:val="24"/>
          <w:szCs w:val="24"/>
          <w:lang w:val="es-CR"/>
          <w14:ligatures w14:val="none"/>
        </w:rPr>
        <w:t>Carlos Gabriel Borbón Morales</w:t>
      </w:r>
      <w:r>
        <w:rPr>
          <w:rStyle w:val="Refdenotaalpie"/>
          <w:rFonts w:ascii="Calibri" w:hAnsi="Calibri" w:cs="Calibri"/>
          <w:b/>
          <w:bCs/>
          <w:kern w:val="0"/>
          <w:sz w:val="24"/>
          <w:szCs w:val="24"/>
          <w:lang w:val="pt-BR"/>
          <w14:ligatures w14:val="none"/>
        </w:rPr>
        <w:footnoteReference w:id="1"/>
      </w:r>
    </w:p>
    <w:p w14:paraId="6179F9FD" w14:textId="582B4EF4" w:rsidR="006F29BF" w:rsidRDefault="00EC7209" w:rsidP="003D0615">
      <w:pPr>
        <w:suppressAutoHyphens/>
        <w:spacing w:line="240" w:lineRule="auto"/>
        <w:rPr>
          <w:rFonts w:ascii="Calibri" w:hAnsi="Calibri" w:cs="Calibri"/>
          <w:b/>
          <w:bCs/>
          <w:kern w:val="0"/>
          <w:sz w:val="24"/>
          <w:szCs w:val="24"/>
          <w14:ligatures w14:val="none"/>
        </w:rPr>
      </w:pPr>
      <w:r w:rsidRPr="00EC7209">
        <w:rPr>
          <w:rFonts w:ascii="Calibri" w:hAnsi="Calibri" w:cs="Calibri"/>
          <w:b/>
          <w:bCs/>
          <w:kern w:val="0"/>
          <w:sz w:val="24"/>
          <w:szCs w:val="24"/>
          <w14:ligatures w14:val="none"/>
        </w:rPr>
        <w:t xml:space="preserve">León Alejandro </w:t>
      </w:r>
      <w:proofErr w:type="spellStart"/>
      <w:r w:rsidRPr="00EC7209">
        <w:rPr>
          <w:rFonts w:ascii="Calibri" w:hAnsi="Calibri" w:cs="Calibri"/>
          <w:b/>
          <w:bCs/>
          <w:kern w:val="0"/>
          <w:sz w:val="24"/>
          <w:szCs w:val="24"/>
          <w14:ligatures w14:val="none"/>
        </w:rPr>
        <w:t>Cáñez</w:t>
      </w:r>
      <w:proofErr w:type="spellEnd"/>
      <w:r w:rsidRPr="00EC7209">
        <w:rPr>
          <w:rFonts w:ascii="Calibri" w:hAnsi="Calibri" w:cs="Calibri"/>
          <w:b/>
          <w:bCs/>
          <w:kern w:val="0"/>
          <w:sz w:val="24"/>
          <w:szCs w:val="24"/>
          <w14:ligatures w14:val="none"/>
        </w:rPr>
        <w:t xml:space="preserve"> Cota</w:t>
      </w:r>
      <w:r>
        <w:rPr>
          <w:rStyle w:val="Refdenotaalpie"/>
          <w:rFonts w:ascii="Calibri" w:hAnsi="Calibri" w:cs="Calibri"/>
          <w:b/>
          <w:bCs/>
          <w:kern w:val="0"/>
          <w:sz w:val="24"/>
          <w:szCs w:val="24"/>
          <w14:ligatures w14:val="none"/>
        </w:rPr>
        <w:footnoteReference w:id="2"/>
      </w:r>
    </w:p>
    <w:p w14:paraId="52117068" w14:textId="7D833E41" w:rsidR="00EC7209" w:rsidRPr="006F29BF" w:rsidRDefault="00EC7209" w:rsidP="003D0615">
      <w:pPr>
        <w:suppressAutoHyphens/>
        <w:spacing w:line="240" w:lineRule="auto"/>
        <w:rPr>
          <w:rFonts w:ascii="Calibri" w:hAnsi="Calibri" w:cs="Calibri"/>
          <w:b/>
          <w:bCs/>
          <w:kern w:val="0"/>
          <w:sz w:val="24"/>
          <w:szCs w:val="24"/>
          <w:lang w:val="es-CR"/>
          <w14:ligatures w14:val="none"/>
        </w:rPr>
      </w:pPr>
      <w:r w:rsidRPr="00EC7209">
        <w:rPr>
          <w:rFonts w:ascii="Calibri" w:hAnsi="Calibri" w:cs="Calibri"/>
          <w:b/>
          <w:bCs/>
          <w:kern w:val="0"/>
          <w:sz w:val="24"/>
          <w:szCs w:val="24"/>
          <w14:ligatures w14:val="none"/>
        </w:rPr>
        <w:t>Edgar Omar Rueda Puente</w:t>
      </w:r>
      <w:r>
        <w:rPr>
          <w:rStyle w:val="Refdenotaalpie"/>
          <w:rFonts w:ascii="Calibri" w:hAnsi="Calibri" w:cs="Calibri"/>
          <w:b/>
          <w:bCs/>
          <w:kern w:val="0"/>
          <w:sz w:val="24"/>
          <w:szCs w:val="24"/>
          <w14:ligatures w14:val="none"/>
        </w:rPr>
        <w:footnoteReference w:id="3"/>
      </w:r>
    </w:p>
    <w:p w14:paraId="10B32101" w14:textId="77777777" w:rsidR="00AF3F26" w:rsidRDefault="0049583F" w:rsidP="003D0615">
      <w:pPr>
        <w:suppressAutoHyphens/>
        <w:spacing w:after="120" w:line="240" w:lineRule="auto"/>
        <w:ind w:left="737" w:right="737"/>
        <w:jc w:val="center"/>
        <w:rPr>
          <w:rFonts w:ascii="Calibri" w:hAnsi="Calibri" w:cs="Calibri"/>
          <w:b/>
          <w:bCs/>
          <w:kern w:val="0"/>
          <w:sz w:val="24"/>
          <w:szCs w:val="24"/>
          <w14:ligatures w14:val="none"/>
        </w:rPr>
      </w:pPr>
      <w:r w:rsidRPr="00D44E2B">
        <w:rPr>
          <w:rFonts w:ascii="Calibri" w:hAnsi="Calibri" w:cs="Calibri"/>
          <w:b/>
          <w:bCs/>
          <w:kern w:val="0"/>
          <w:sz w:val="24"/>
          <w:szCs w:val="24"/>
          <w14:ligatures w14:val="none"/>
        </w:rPr>
        <w:t>Resumen</w:t>
      </w:r>
    </w:p>
    <w:p w14:paraId="0C4C9521" w14:textId="128B9A82" w:rsidR="0049583F" w:rsidRPr="00D44E2B" w:rsidRDefault="0049583F" w:rsidP="003D0615">
      <w:pPr>
        <w:suppressAutoHyphens/>
        <w:spacing w:after="120" w:line="240" w:lineRule="auto"/>
        <w:ind w:left="737" w:right="737"/>
        <w:jc w:val="both"/>
        <w:rPr>
          <w:rFonts w:ascii="Calibri" w:hAnsi="Calibri" w:cs="Calibri"/>
          <w:kern w:val="0"/>
          <w:sz w:val="24"/>
          <w:szCs w:val="24"/>
          <w:lang w:val="es-ES"/>
          <w14:ligatures w14:val="none"/>
        </w:rPr>
      </w:pPr>
      <w:r w:rsidRPr="00D44E2B">
        <w:rPr>
          <w:rFonts w:ascii="Calibri" w:hAnsi="Calibri" w:cs="Calibri"/>
          <w:kern w:val="0"/>
          <w:sz w:val="24"/>
          <w:szCs w:val="24"/>
          <w14:ligatures w14:val="none"/>
        </w:rPr>
        <w:t xml:space="preserve">Las </w:t>
      </w:r>
      <w:r w:rsidR="004253AE">
        <w:rPr>
          <w:rFonts w:ascii="Calibri" w:hAnsi="Calibri" w:cs="Calibri"/>
          <w:kern w:val="0"/>
          <w:sz w:val="24"/>
          <w:szCs w:val="24"/>
          <w14:ligatures w14:val="none"/>
        </w:rPr>
        <w:t>Á</w:t>
      </w:r>
      <w:r w:rsidRPr="00D44E2B">
        <w:rPr>
          <w:rFonts w:ascii="Calibri" w:hAnsi="Calibri" w:cs="Calibri"/>
          <w:kern w:val="0"/>
          <w:sz w:val="24"/>
          <w:szCs w:val="24"/>
          <w14:ligatures w14:val="none"/>
        </w:rPr>
        <w:t xml:space="preserve">reas </w:t>
      </w:r>
      <w:r w:rsidR="004253AE">
        <w:rPr>
          <w:rFonts w:ascii="Calibri" w:hAnsi="Calibri" w:cs="Calibri"/>
          <w:kern w:val="0"/>
          <w:sz w:val="24"/>
          <w:szCs w:val="24"/>
          <w14:ligatures w14:val="none"/>
        </w:rPr>
        <w:t>N</w:t>
      </w:r>
      <w:r w:rsidRPr="00D44E2B">
        <w:rPr>
          <w:rFonts w:ascii="Calibri" w:hAnsi="Calibri" w:cs="Calibri"/>
          <w:kern w:val="0"/>
          <w:sz w:val="24"/>
          <w:szCs w:val="24"/>
          <w14:ligatures w14:val="none"/>
        </w:rPr>
        <w:t xml:space="preserve">aturales </w:t>
      </w:r>
      <w:r w:rsidR="004253AE">
        <w:rPr>
          <w:rFonts w:ascii="Calibri" w:hAnsi="Calibri" w:cs="Calibri"/>
          <w:kern w:val="0"/>
          <w:sz w:val="24"/>
          <w:szCs w:val="24"/>
          <w14:ligatures w14:val="none"/>
        </w:rPr>
        <w:t>P</w:t>
      </w:r>
      <w:r w:rsidRPr="00D44E2B">
        <w:rPr>
          <w:rFonts w:ascii="Calibri" w:hAnsi="Calibri" w:cs="Calibri"/>
          <w:kern w:val="0"/>
          <w:sz w:val="24"/>
          <w:szCs w:val="24"/>
          <w14:ligatures w14:val="none"/>
        </w:rPr>
        <w:t xml:space="preserve">rotegidas son una herramienta efectiva para la conservación de los ecosistemas. Algunos de estos lugares tienen vocación turística, debido a sus atractivos naturales y culturales. El objetivo de este artículo es explicar los principales factores determinantes del flujo turístico de la Reserva de la Biosfera El Pinacate y Gran Desierto de Altar, durante el período 2009–2021. Con base en datos de visitantes de este lugar, así como variables socioeconómicas, </w:t>
      </w:r>
      <w:r w:rsidRPr="00D44E2B">
        <w:rPr>
          <w:rFonts w:ascii="Calibri" w:hAnsi="Calibri" w:cs="Calibri"/>
          <w:kern w:val="0"/>
          <w:sz w:val="24"/>
          <w:szCs w:val="24"/>
          <w:lang w:val="es-ES"/>
          <w14:ligatures w14:val="none"/>
        </w:rPr>
        <w:t>se elaboró un modelo de regresión lineal múltiple. Los resultados muestran que los principales factores determinantes del flujo turístico son: P</w:t>
      </w:r>
      <w:r w:rsidR="00F76164">
        <w:rPr>
          <w:rFonts w:ascii="Calibri" w:hAnsi="Calibri" w:cs="Calibri"/>
          <w:kern w:val="0"/>
          <w:sz w:val="24"/>
          <w:szCs w:val="24"/>
          <w:lang w:val="es-ES"/>
          <w14:ligatures w14:val="none"/>
        </w:rPr>
        <w:t xml:space="preserve">roducto </w:t>
      </w:r>
      <w:r w:rsidRPr="00D44E2B">
        <w:rPr>
          <w:rFonts w:ascii="Calibri" w:hAnsi="Calibri" w:cs="Calibri"/>
          <w:kern w:val="0"/>
          <w:sz w:val="24"/>
          <w:szCs w:val="24"/>
          <w:lang w:val="es-ES"/>
          <w14:ligatures w14:val="none"/>
        </w:rPr>
        <w:t>I</w:t>
      </w:r>
      <w:r w:rsidR="00F76164">
        <w:rPr>
          <w:rFonts w:ascii="Calibri" w:hAnsi="Calibri" w:cs="Calibri"/>
          <w:kern w:val="0"/>
          <w:sz w:val="24"/>
          <w:szCs w:val="24"/>
          <w:lang w:val="es-ES"/>
          <w14:ligatures w14:val="none"/>
        </w:rPr>
        <w:t xml:space="preserve">nterno </w:t>
      </w:r>
      <w:r w:rsidRPr="00D44E2B">
        <w:rPr>
          <w:rFonts w:ascii="Calibri" w:hAnsi="Calibri" w:cs="Calibri"/>
          <w:kern w:val="0"/>
          <w:sz w:val="24"/>
          <w:szCs w:val="24"/>
          <w:lang w:val="es-ES"/>
          <w14:ligatures w14:val="none"/>
        </w:rPr>
        <w:t>B</w:t>
      </w:r>
      <w:r w:rsidR="00F76164">
        <w:rPr>
          <w:rFonts w:ascii="Calibri" w:hAnsi="Calibri" w:cs="Calibri"/>
          <w:kern w:val="0"/>
          <w:sz w:val="24"/>
          <w:szCs w:val="24"/>
          <w:lang w:val="es-ES"/>
          <w14:ligatures w14:val="none"/>
        </w:rPr>
        <w:t>ruto</w:t>
      </w:r>
      <w:r w:rsidRPr="00D44E2B">
        <w:rPr>
          <w:rFonts w:ascii="Calibri" w:hAnsi="Calibri" w:cs="Calibri"/>
          <w:kern w:val="0"/>
          <w:sz w:val="24"/>
          <w:szCs w:val="24"/>
          <w:lang w:val="es-ES"/>
          <w14:ligatures w14:val="none"/>
        </w:rPr>
        <w:t xml:space="preserve"> </w:t>
      </w:r>
      <w:r w:rsidR="004231E3">
        <w:rPr>
          <w:rFonts w:ascii="Calibri" w:hAnsi="Calibri" w:cs="Calibri"/>
          <w:kern w:val="0"/>
          <w:sz w:val="24"/>
          <w:szCs w:val="24"/>
          <w:lang w:val="es-ES"/>
          <w14:ligatures w14:val="none"/>
        </w:rPr>
        <w:t>t</w:t>
      </w:r>
      <w:r w:rsidRPr="00D44E2B">
        <w:rPr>
          <w:rFonts w:ascii="Calibri" w:hAnsi="Calibri" w:cs="Calibri"/>
          <w:kern w:val="0"/>
          <w:sz w:val="24"/>
          <w:szCs w:val="24"/>
          <w:lang w:val="es-ES"/>
          <w14:ligatures w14:val="none"/>
        </w:rPr>
        <w:t>urístico, riesgo por salud (COVID), inflación</w:t>
      </w:r>
      <w:r w:rsidR="001722A6">
        <w:rPr>
          <w:rFonts w:ascii="Calibri" w:hAnsi="Calibri" w:cs="Calibri"/>
          <w:kern w:val="0"/>
          <w:sz w:val="24"/>
          <w:szCs w:val="24"/>
          <w:lang w:val="es-ES"/>
          <w14:ligatures w14:val="none"/>
        </w:rPr>
        <w:t>, confianza</w:t>
      </w:r>
      <w:r w:rsidRPr="00D44E2B">
        <w:rPr>
          <w:rFonts w:ascii="Calibri" w:hAnsi="Calibri" w:cs="Calibri"/>
          <w:kern w:val="0"/>
          <w:sz w:val="24"/>
          <w:szCs w:val="24"/>
          <w:lang w:val="es-ES"/>
          <w14:ligatures w14:val="none"/>
        </w:rPr>
        <w:t xml:space="preserve"> y períodos vacacionales. Una de las principales implicaciones del presente estudio es que representa una herramienta de apoyo en el manejo del turismo dentro de las </w:t>
      </w:r>
      <w:r w:rsidR="0029546F">
        <w:rPr>
          <w:rFonts w:ascii="Calibri" w:hAnsi="Calibri" w:cs="Calibri"/>
          <w:kern w:val="0"/>
          <w:sz w:val="24"/>
          <w:szCs w:val="24"/>
          <w:lang w:val="es-ES"/>
          <w14:ligatures w14:val="none"/>
        </w:rPr>
        <w:t>Á</w:t>
      </w:r>
      <w:r w:rsidRPr="00D44E2B">
        <w:rPr>
          <w:rFonts w:ascii="Calibri" w:hAnsi="Calibri" w:cs="Calibri"/>
          <w:kern w:val="0"/>
          <w:sz w:val="24"/>
          <w:szCs w:val="24"/>
          <w:lang w:val="es-ES"/>
          <w14:ligatures w14:val="none"/>
        </w:rPr>
        <w:t xml:space="preserve">reas </w:t>
      </w:r>
      <w:r w:rsidR="0029546F">
        <w:rPr>
          <w:rFonts w:ascii="Calibri" w:hAnsi="Calibri" w:cs="Calibri"/>
          <w:kern w:val="0"/>
          <w:sz w:val="24"/>
          <w:szCs w:val="24"/>
          <w:lang w:val="es-ES"/>
          <w14:ligatures w14:val="none"/>
        </w:rPr>
        <w:t>N</w:t>
      </w:r>
      <w:r w:rsidRPr="00D44E2B">
        <w:rPr>
          <w:rFonts w:ascii="Calibri" w:hAnsi="Calibri" w:cs="Calibri"/>
          <w:kern w:val="0"/>
          <w:sz w:val="24"/>
          <w:szCs w:val="24"/>
          <w:lang w:val="es-ES"/>
          <w14:ligatures w14:val="none"/>
        </w:rPr>
        <w:t xml:space="preserve">aturales </w:t>
      </w:r>
      <w:r w:rsidR="0029546F">
        <w:rPr>
          <w:rFonts w:ascii="Calibri" w:hAnsi="Calibri" w:cs="Calibri"/>
          <w:kern w:val="0"/>
          <w:sz w:val="24"/>
          <w:szCs w:val="24"/>
          <w:lang w:val="es-ES"/>
          <w14:ligatures w14:val="none"/>
        </w:rPr>
        <w:t>P</w:t>
      </w:r>
      <w:r w:rsidRPr="00D44E2B">
        <w:rPr>
          <w:rFonts w:ascii="Calibri" w:hAnsi="Calibri" w:cs="Calibri"/>
          <w:kern w:val="0"/>
          <w:sz w:val="24"/>
          <w:szCs w:val="24"/>
          <w:lang w:val="es-ES"/>
          <w14:ligatures w14:val="none"/>
        </w:rPr>
        <w:t>rotegidas, toda vez que permite estimar el flujo turístico para el siguiente período.</w:t>
      </w:r>
    </w:p>
    <w:p w14:paraId="7101C38A" w14:textId="35DA3FBE" w:rsidR="0049583F" w:rsidRPr="000840CC" w:rsidRDefault="0049583F" w:rsidP="003D0615">
      <w:pPr>
        <w:suppressAutoHyphens/>
        <w:spacing w:after="120" w:line="240" w:lineRule="auto"/>
        <w:ind w:left="737" w:right="737"/>
        <w:jc w:val="both"/>
        <w:rPr>
          <w:rFonts w:ascii="Calibri" w:hAnsi="Calibri" w:cs="Calibri"/>
          <w:kern w:val="0"/>
          <w:sz w:val="24"/>
          <w:szCs w:val="24"/>
          <w:lang w:val="en-US"/>
          <w14:ligatures w14:val="none"/>
        </w:rPr>
      </w:pPr>
      <w:r w:rsidRPr="00AF3F26">
        <w:rPr>
          <w:rFonts w:ascii="Calibri" w:hAnsi="Calibri" w:cs="Calibri"/>
          <w:kern w:val="0"/>
          <w:sz w:val="24"/>
          <w:szCs w:val="24"/>
          <w:lang w:val="en-US"/>
          <w14:ligatures w14:val="none"/>
        </w:rPr>
        <w:lastRenderedPageBreak/>
        <w:t>Palabras clave</w:t>
      </w:r>
      <w:r w:rsidRPr="000840CC">
        <w:rPr>
          <w:rFonts w:ascii="Calibri" w:hAnsi="Calibri" w:cs="Calibri"/>
          <w:b/>
          <w:bCs/>
          <w:kern w:val="0"/>
          <w:sz w:val="24"/>
          <w:szCs w:val="24"/>
          <w:lang w:val="en-US"/>
          <w14:ligatures w14:val="none"/>
        </w:rPr>
        <w:t xml:space="preserve">: </w:t>
      </w:r>
      <w:proofErr w:type="spellStart"/>
      <w:r w:rsidRPr="000840CC">
        <w:rPr>
          <w:rFonts w:ascii="Calibri" w:hAnsi="Calibri" w:cs="Calibri"/>
          <w:kern w:val="0"/>
          <w:sz w:val="24"/>
          <w:szCs w:val="24"/>
          <w:lang w:val="en-US"/>
          <w14:ligatures w14:val="none"/>
        </w:rPr>
        <w:t>Área</w:t>
      </w:r>
      <w:proofErr w:type="spellEnd"/>
      <w:r w:rsidRPr="000840CC">
        <w:rPr>
          <w:rFonts w:ascii="Calibri" w:hAnsi="Calibri" w:cs="Calibri"/>
          <w:kern w:val="0"/>
          <w:sz w:val="24"/>
          <w:szCs w:val="24"/>
          <w:lang w:val="en-US"/>
          <w14:ligatures w14:val="none"/>
        </w:rPr>
        <w:t xml:space="preserve"> </w:t>
      </w:r>
      <w:r w:rsidR="00C03B97" w:rsidRPr="000840CC">
        <w:rPr>
          <w:rFonts w:ascii="Calibri" w:hAnsi="Calibri" w:cs="Calibri"/>
          <w:kern w:val="0"/>
          <w:sz w:val="24"/>
          <w:szCs w:val="24"/>
          <w:lang w:val="en-US"/>
          <w14:ligatures w14:val="none"/>
        </w:rPr>
        <w:t>N</w:t>
      </w:r>
      <w:r w:rsidRPr="000840CC">
        <w:rPr>
          <w:rFonts w:ascii="Calibri" w:hAnsi="Calibri" w:cs="Calibri"/>
          <w:kern w:val="0"/>
          <w:sz w:val="24"/>
          <w:szCs w:val="24"/>
          <w:lang w:val="en-US"/>
          <w14:ligatures w14:val="none"/>
        </w:rPr>
        <w:t xml:space="preserve">atural </w:t>
      </w:r>
      <w:proofErr w:type="spellStart"/>
      <w:r w:rsidR="00C03B97" w:rsidRPr="000840CC">
        <w:rPr>
          <w:rFonts w:ascii="Calibri" w:hAnsi="Calibri" w:cs="Calibri"/>
          <w:kern w:val="0"/>
          <w:sz w:val="24"/>
          <w:szCs w:val="24"/>
          <w:lang w:val="en-US"/>
          <w14:ligatures w14:val="none"/>
        </w:rPr>
        <w:t>P</w:t>
      </w:r>
      <w:r w:rsidRPr="000840CC">
        <w:rPr>
          <w:rFonts w:ascii="Calibri" w:hAnsi="Calibri" w:cs="Calibri"/>
          <w:kern w:val="0"/>
          <w:sz w:val="24"/>
          <w:szCs w:val="24"/>
          <w:lang w:val="en-US"/>
          <w14:ligatures w14:val="none"/>
        </w:rPr>
        <w:t>rotegida</w:t>
      </w:r>
      <w:proofErr w:type="spellEnd"/>
      <w:r w:rsidRPr="000840CC">
        <w:rPr>
          <w:rFonts w:ascii="Calibri" w:hAnsi="Calibri" w:cs="Calibri"/>
          <w:kern w:val="0"/>
          <w:sz w:val="24"/>
          <w:szCs w:val="24"/>
          <w:lang w:val="en-US"/>
          <w14:ligatures w14:val="none"/>
        </w:rPr>
        <w:t xml:space="preserve">, </w:t>
      </w:r>
      <w:proofErr w:type="spellStart"/>
      <w:r w:rsidR="001A5232" w:rsidRPr="000840CC">
        <w:rPr>
          <w:rFonts w:ascii="Calibri" w:hAnsi="Calibri" w:cs="Calibri"/>
          <w:kern w:val="0"/>
          <w:sz w:val="24"/>
          <w:szCs w:val="24"/>
          <w:lang w:val="en-US"/>
          <w14:ligatures w14:val="none"/>
        </w:rPr>
        <w:t>visitantes</w:t>
      </w:r>
      <w:proofErr w:type="spellEnd"/>
      <w:r w:rsidR="001A5232" w:rsidRPr="000840CC">
        <w:rPr>
          <w:rFonts w:ascii="Calibri" w:hAnsi="Calibri" w:cs="Calibri"/>
          <w:kern w:val="0"/>
          <w:sz w:val="24"/>
          <w:szCs w:val="24"/>
          <w:lang w:val="en-US"/>
          <w14:ligatures w14:val="none"/>
        </w:rPr>
        <w:t>, turismo.</w:t>
      </w:r>
    </w:p>
    <w:p w14:paraId="0CC6BFEE" w14:textId="77777777" w:rsidR="00AF3F26" w:rsidRDefault="0049583F" w:rsidP="003D0615">
      <w:pPr>
        <w:suppressAutoHyphens/>
        <w:spacing w:after="120" w:line="240" w:lineRule="auto"/>
        <w:ind w:left="737" w:right="737"/>
        <w:jc w:val="center"/>
        <w:rPr>
          <w:rFonts w:ascii="Calibri" w:hAnsi="Calibri" w:cs="Calibri"/>
          <w:b/>
          <w:bCs/>
          <w:kern w:val="0"/>
          <w:sz w:val="24"/>
          <w:szCs w:val="24"/>
          <w:lang w:val="en-US"/>
          <w14:ligatures w14:val="none"/>
        </w:rPr>
      </w:pPr>
      <w:r w:rsidRPr="00D44E2B">
        <w:rPr>
          <w:rFonts w:ascii="Calibri" w:hAnsi="Calibri" w:cs="Calibri"/>
          <w:b/>
          <w:bCs/>
          <w:kern w:val="0"/>
          <w:sz w:val="24"/>
          <w:szCs w:val="24"/>
          <w:lang w:val="en-US"/>
          <w14:ligatures w14:val="none"/>
        </w:rPr>
        <w:t>Abstract</w:t>
      </w:r>
    </w:p>
    <w:p w14:paraId="6BB779F2" w14:textId="3FBDCB21" w:rsidR="0049583F" w:rsidRPr="00D44E2B" w:rsidRDefault="0049583F" w:rsidP="003D0615">
      <w:pPr>
        <w:suppressAutoHyphens/>
        <w:spacing w:after="120" w:line="240" w:lineRule="auto"/>
        <w:ind w:left="737" w:right="737"/>
        <w:jc w:val="both"/>
        <w:rPr>
          <w:rFonts w:ascii="Calibri" w:hAnsi="Calibri" w:cs="Calibri"/>
          <w:kern w:val="0"/>
          <w:sz w:val="24"/>
          <w:szCs w:val="24"/>
          <w:lang w:val="en-US"/>
          <w14:ligatures w14:val="none"/>
        </w:rPr>
      </w:pPr>
      <w:r w:rsidRPr="00D44E2B">
        <w:rPr>
          <w:rFonts w:ascii="Calibri" w:hAnsi="Calibri" w:cs="Calibri"/>
          <w:kern w:val="0"/>
          <w:sz w:val="24"/>
          <w:szCs w:val="24"/>
          <w:lang w:val="en-US"/>
          <w14:ligatures w14:val="none"/>
        </w:rPr>
        <w:t xml:space="preserve">Protected </w:t>
      </w:r>
      <w:r w:rsidR="004231E3">
        <w:rPr>
          <w:rFonts w:ascii="Calibri" w:hAnsi="Calibri" w:cs="Calibri"/>
          <w:kern w:val="0"/>
          <w:sz w:val="24"/>
          <w:szCs w:val="24"/>
          <w:lang w:val="en-US"/>
          <w14:ligatures w14:val="none"/>
        </w:rPr>
        <w:t>N</w:t>
      </w:r>
      <w:r w:rsidRPr="00D44E2B">
        <w:rPr>
          <w:rFonts w:ascii="Calibri" w:hAnsi="Calibri" w:cs="Calibri"/>
          <w:kern w:val="0"/>
          <w:sz w:val="24"/>
          <w:szCs w:val="24"/>
          <w:lang w:val="en-US"/>
          <w14:ligatures w14:val="none"/>
        </w:rPr>
        <w:t xml:space="preserve">atural </w:t>
      </w:r>
      <w:r w:rsidR="004231E3">
        <w:rPr>
          <w:rFonts w:ascii="Calibri" w:hAnsi="Calibri" w:cs="Calibri"/>
          <w:kern w:val="0"/>
          <w:sz w:val="24"/>
          <w:szCs w:val="24"/>
          <w:lang w:val="en-US"/>
          <w14:ligatures w14:val="none"/>
        </w:rPr>
        <w:t>A</w:t>
      </w:r>
      <w:r w:rsidRPr="00D44E2B">
        <w:rPr>
          <w:rFonts w:ascii="Calibri" w:hAnsi="Calibri" w:cs="Calibri"/>
          <w:kern w:val="0"/>
          <w:sz w:val="24"/>
          <w:szCs w:val="24"/>
          <w:lang w:val="en-US"/>
          <w14:ligatures w14:val="none"/>
        </w:rPr>
        <w:t xml:space="preserve">reas are an effective tool for the conservation of many ecosystems. Some of these places have a tourist vocation, due to their natural and cultural attractions. The objective of this article is to explain the main determinants of the tourist flow of the El Pinacate and Gran Desierto de Altar Biosphere Reserve, during the period 2009-2021. Based on data from visitors to this site, as well as socioeconomic variables, a multiple linear regression model was developed. The results show that the main determinants of the tourist flow are Tourist </w:t>
      </w:r>
      <w:bookmarkStart w:id="1" w:name="_Hlk200452149"/>
      <w:r w:rsidR="00F76164" w:rsidRPr="00F76164">
        <w:rPr>
          <w:rFonts w:ascii="Calibri" w:hAnsi="Calibri" w:cs="Calibri"/>
          <w:kern w:val="0"/>
          <w:sz w:val="24"/>
          <w:szCs w:val="24"/>
          <w:lang w:val="en-US"/>
          <w14:ligatures w14:val="none"/>
        </w:rPr>
        <w:t>Gross Domestic Product</w:t>
      </w:r>
      <w:bookmarkEnd w:id="1"/>
      <w:r w:rsidRPr="00D44E2B">
        <w:rPr>
          <w:rFonts w:ascii="Calibri" w:hAnsi="Calibri" w:cs="Calibri"/>
          <w:kern w:val="0"/>
          <w:sz w:val="24"/>
          <w:szCs w:val="24"/>
          <w:lang w:val="en-US"/>
          <w14:ligatures w14:val="none"/>
        </w:rPr>
        <w:t>, health risk (COVID), inflation and holiday periods. One of the main implications of this study is that it provides a support tool in the management of tourism. In addition, the tourist flow for the following period can be estimated.</w:t>
      </w:r>
    </w:p>
    <w:p w14:paraId="78CE19A5" w14:textId="18539394" w:rsidR="0049583F" w:rsidRDefault="0049583F" w:rsidP="003D0615">
      <w:pPr>
        <w:suppressAutoHyphens/>
        <w:spacing w:after="120" w:line="240" w:lineRule="auto"/>
        <w:ind w:left="737" w:right="737"/>
        <w:jc w:val="both"/>
        <w:rPr>
          <w:rFonts w:ascii="Calibri" w:hAnsi="Calibri" w:cs="Calibri"/>
          <w:kern w:val="0"/>
          <w:sz w:val="24"/>
          <w:szCs w:val="24"/>
          <w:lang w:val="en-US"/>
          <w14:ligatures w14:val="none"/>
        </w:rPr>
      </w:pPr>
      <w:r w:rsidRPr="00AF3F26">
        <w:rPr>
          <w:rFonts w:ascii="Calibri" w:hAnsi="Calibri" w:cs="Calibri"/>
          <w:kern w:val="0"/>
          <w:sz w:val="24"/>
          <w:szCs w:val="24"/>
          <w:lang w:val="en-US"/>
          <w14:ligatures w14:val="none"/>
        </w:rPr>
        <w:t>Keywords:</w:t>
      </w:r>
      <w:r w:rsidRPr="00D44E2B">
        <w:rPr>
          <w:rFonts w:ascii="Calibri" w:hAnsi="Calibri" w:cs="Calibri"/>
          <w:b/>
          <w:bCs/>
          <w:kern w:val="0"/>
          <w:sz w:val="24"/>
          <w:szCs w:val="24"/>
          <w:lang w:val="en-US"/>
          <w14:ligatures w14:val="none"/>
        </w:rPr>
        <w:t xml:space="preserve"> </w:t>
      </w:r>
      <w:r w:rsidRPr="00D44E2B">
        <w:rPr>
          <w:rFonts w:ascii="Calibri" w:hAnsi="Calibri" w:cs="Calibri"/>
          <w:kern w:val="0"/>
          <w:sz w:val="24"/>
          <w:szCs w:val="24"/>
          <w:lang w:val="en-US"/>
          <w14:ligatures w14:val="none"/>
        </w:rPr>
        <w:t xml:space="preserve">Protected </w:t>
      </w:r>
      <w:r w:rsidR="00C03B97">
        <w:rPr>
          <w:rFonts w:ascii="Calibri" w:hAnsi="Calibri" w:cs="Calibri"/>
          <w:kern w:val="0"/>
          <w:sz w:val="24"/>
          <w:szCs w:val="24"/>
          <w:lang w:val="en-US"/>
          <w14:ligatures w14:val="none"/>
        </w:rPr>
        <w:t>N</w:t>
      </w:r>
      <w:r w:rsidRPr="00D44E2B">
        <w:rPr>
          <w:rFonts w:ascii="Calibri" w:hAnsi="Calibri" w:cs="Calibri"/>
          <w:kern w:val="0"/>
          <w:sz w:val="24"/>
          <w:szCs w:val="24"/>
          <w:lang w:val="en-US"/>
          <w14:ligatures w14:val="none"/>
        </w:rPr>
        <w:t xml:space="preserve">atural </w:t>
      </w:r>
      <w:r w:rsidR="00C03B97">
        <w:rPr>
          <w:rFonts w:ascii="Calibri" w:hAnsi="Calibri" w:cs="Calibri"/>
          <w:kern w:val="0"/>
          <w:sz w:val="24"/>
          <w:szCs w:val="24"/>
          <w:lang w:val="en-US"/>
          <w14:ligatures w14:val="none"/>
        </w:rPr>
        <w:t>A</w:t>
      </w:r>
      <w:r w:rsidRPr="00D44E2B">
        <w:rPr>
          <w:rFonts w:ascii="Calibri" w:hAnsi="Calibri" w:cs="Calibri"/>
          <w:kern w:val="0"/>
          <w:sz w:val="24"/>
          <w:szCs w:val="24"/>
          <w:lang w:val="en-US"/>
          <w14:ligatures w14:val="none"/>
        </w:rPr>
        <w:t xml:space="preserve">rea, </w:t>
      </w:r>
      <w:r w:rsidR="001A5232">
        <w:rPr>
          <w:rFonts w:ascii="Calibri" w:hAnsi="Calibri" w:cs="Calibri"/>
          <w:kern w:val="0"/>
          <w:sz w:val="24"/>
          <w:szCs w:val="24"/>
          <w:lang w:val="en-US"/>
          <w14:ligatures w14:val="none"/>
        </w:rPr>
        <w:t>visitors, tourism.</w:t>
      </w:r>
    </w:p>
    <w:p w14:paraId="2DAC0E91" w14:textId="78B89CF4" w:rsidR="00F8304F" w:rsidRPr="003805D0" w:rsidRDefault="003805D0" w:rsidP="003D0615">
      <w:pPr>
        <w:suppressAutoHyphens/>
        <w:spacing w:after="120" w:line="240" w:lineRule="auto"/>
        <w:ind w:left="737" w:right="737"/>
        <w:jc w:val="center"/>
        <w:rPr>
          <w:rFonts w:ascii="Calibri" w:hAnsi="Calibri" w:cs="Calibri"/>
          <w:b/>
          <w:bCs/>
          <w:kern w:val="0"/>
          <w:sz w:val="24"/>
          <w:szCs w:val="24"/>
          <w:lang w:val="en-US"/>
          <w14:ligatures w14:val="none"/>
        </w:rPr>
      </w:pPr>
      <w:proofErr w:type="spellStart"/>
      <w:r w:rsidRPr="003805D0">
        <w:rPr>
          <w:rFonts w:ascii="Calibri" w:hAnsi="Calibri" w:cs="Calibri"/>
          <w:b/>
          <w:bCs/>
          <w:kern w:val="0"/>
          <w:sz w:val="24"/>
          <w:szCs w:val="24"/>
          <w:lang w:val="en-US"/>
          <w14:ligatures w14:val="none"/>
        </w:rPr>
        <w:t>Resumo</w:t>
      </w:r>
      <w:proofErr w:type="spellEnd"/>
    </w:p>
    <w:p w14:paraId="03ABA21F" w14:textId="77777777" w:rsidR="003805D0" w:rsidRPr="003805D0" w:rsidRDefault="003805D0" w:rsidP="003D0615">
      <w:pPr>
        <w:suppressAutoHyphens/>
        <w:spacing w:after="120" w:line="240" w:lineRule="auto"/>
        <w:ind w:left="737" w:right="737"/>
        <w:jc w:val="both"/>
        <w:rPr>
          <w:rFonts w:ascii="Calibri" w:hAnsi="Calibri" w:cs="Calibri"/>
          <w:kern w:val="0"/>
          <w:sz w:val="24"/>
          <w:szCs w:val="24"/>
          <w:lang w:val="pt-BR"/>
          <w14:ligatures w14:val="none"/>
        </w:rPr>
      </w:pPr>
      <w:r w:rsidRPr="003805D0">
        <w:rPr>
          <w:rFonts w:ascii="Calibri" w:hAnsi="Calibri" w:cs="Calibri"/>
          <w:kern w:val="0"/>
          <w:sz w:val="24"/>
          <w:szCs w:val="24"/>
          <w:lang w:val="pt-BR"/>
          <w14:ligatures w14:val="none"/>
        </w:rPr>
        <w:t xml:space="preserve">As Áreas Naturais Protegidas são uma ferramenta eficaz para a conservação dos ecossistemas. Alguns desses locais têm vocação turística, devido às suas atrações naturais e culturais. O objetivo deste artigo é explicar os principais fatores determinantes do fluxo turístico da Reserva da Biosfera El </w:t>
      </w:r>
      <w:proofErr w:type="spellStart"/>
      <w:r w:rsidRPr="003805D0">
        <w:rPr>
          <w:rFonts w:ascii="Calibri" w:hAnsi="Calibri" w:cs="Calibri"/>
          <w:kern w:val="0"/>
          <w:sz w:val="24"/>
          <w:szCs w:val="24"/>
          <w:lang w:val="pt-BR"/>
          <w14:ligatures w14:val="none"/>
        </w:rPr>
        <w:t>Pinacate</w:t>
      </w:r>
      <w:proofErr w:type="spellEnd"/>
      <w:r w:rsidRPr="003805D0">
        <w:rPr>
          <w:rFonts w:ascii="Calibri" w:hAnsi="Calibri" w:cs="Calibri"/>
          <w:kern w:val="0"/>
          <w:sz w:val="24"/>
          <w:szCs w:val="24"/>
          <w:lang w:val="pt-BR"/>
          <w14:ligatures w14:val="none"/>
        </w:rPr>
        <w:t xml:space="preserve"> e </w:t>
      </w:r>
      <w:proofErr w:type="spellStart"/>
      <w:r w:rsidRPr="003805D0">
        <w:rPr>
          <w:rFonts w:ascii="Calibri" w:hAnsi="Calibri" w:cs="Calibri"/>
          <w:kern w:val="0"/>
          <w:sz w:val="24"/>
          <w:szCs w:val="24"/>
          <w:lang w:val="pt-BR"/>
          <w14:ligatures w14:val="none"/>
        </w:rPr>
        <w:t>Gran</w:t>
      </w:r>
      <w:proofErr w:type="spellEnd"/>
      <w:r w:rsidRPr="003805D0">
        <w:rPr>
          <w:rFonts w:ascii="Calibri" w:hAnsi="Calibri" w:cs="Calibri"/>
          <w:kern w:val="0"/>
          <w:sz w:val="24"/>
          <w:szCs w:val="24"/>
          <w:lang w:val="pt-BR"/>
          <w14:ligatures w14:val="none"/>
        </w:rPr>
        <w:t xml:space="preserve"> </w:t>
      </w:r>
      <w:proofErr w:type="spellStart"/>
      <w:r w:rsidRPr="003805D0">
        <w:rPr>
          <w:rFonts w:ascii="Calibri" w:hAnsi="Calibri" w:cs="Calibri"/>
          <w:kern w:val="0"/>
          <w:sz w:val="24"/>
          <w:szCs w:val="24"/>
          <w:lang w:val="pt-BR"/>
          <w14:ligatures w14:val="none"/>
        </w:rPr>
        <w:t>Desierto</w:t>
      </w:r>
      <w:proofErr w:type="spellEnd"/>
      <w:r w:rsidRPr="003805D0">
        <w:rPr>
          <w:rFonts w:ascii="Calibri" w:hAnsi="Calibri" w:cs="Calibri"/>
          <w:kern w:val="0"/>
          <w:sz w:val="24"/>
          <w:szCs w:val="24"/>
          <w:lang w:val="pt-BR"/>
          <w14:ligatures w14:val="none"/>
        </w:rPr>
        <w:t xml:space="preserve"> de Altar, durante o período de 2009 a 2021. Com base nos dados de visitantes deste local, e em variáveis socioeconômicas, foi elaborado um modelo de regressão linear múltipla. Os resultados mostram que os principais fatores determinantes do fluxo turístico são: Produto Interno Bruto turístico, risco à saúde (COVID), inflação, confiança e períodos de férias. Uma das principais implicações do presente estudo é que ele representa uma ferramenta de apoio na gestão do turismo dentro das Áreas Naturais Protegidas, uma vez que permite estimar o fluxo turístico para o próximo período.</w:t>
      </w:r>
    </w:p>
    <w:p w14:paraId="6A7732A9" w14:textId="77777777" w:rsidR="003805D0" w:rsidRPr="003805D0" w:rsidRDefault="003805D0" w:rsidP="003D0615">
      <w:pPr>
        <w:suppressAutoHyphens/>
        <w:spacing w:after="120" w:line="240" w:lineRule="auto"/>
        <w:ind w:left="737" w:right="737"/>
        <w:jc w:val="both"/>
        <w:rPr>
          <w:rFonts w:ascii="Calibri" w:hAnsi="Calibri" w:cs="Calibri"/>
          <w:kern w:val="0"/>
          <w:sz w:val="24"/>
          <w:szCs w:val="24"/>
          <w:lang w:val="pt-BR"/>
          <w14:ligatures w14:val="none"/>
        </w:rPr>
      </w:pPr>
      <w:r w:rsidRPr="003805D0">
        <w:rPr>
          <w:rFonts w:ascii="Calibri" w:hAnsi="Calibri" w:cs="Calibri"/>
          <w:kern w:val="0"/>
          <w:sz w:val="24"/>
          <w:szCs w:val="24"/>
          <w:lang w:val="pt-BR"/>
          <w14:ligatures w14:val="none"/>
        </w:rPr>
        <w:t>Palavras-chave: Área Natural Protegida, visitantes, turismo.</w:t>
      </w:r>
    </w:p>
    <w:p w14:paraId="5B6F2F15" w14:textId="695AA3EF" w:rsidR="00CB241D" w:rsidRPr="0088435F" w:rsidRDefault="0049583F" w:rsidP="003D0615">
      <w:pPr>
        <w:pStyle w:val="Prrafodelista"/>
        <w:numPr>
          <w:ilvl w:val="0"/>
          <w:numId w:val="3"/>
        </w:numPr>
        <w:suppressAutoHyphens/>
        <w:spacing w:line="240" w:lineRule="auto"/>
        <w:rPr>
          <w:rFonts w:ascii="Calibri" w:hAnsi="Calibri" w:cs="Calibri"/>
          <w:b/>
          <w:bCs/>
          <w:sz w:val="24"/>
          <w:szCs w:val="24"/>
        </w:rPr>
      </w:pPr>
      <w:r w:rsidRPr="00D44E2B">
        <w:rPr>
          <w:rFonts w:ascii="Calibri" w:hAnsi="Calibri" w:cs="Calibri"/>
          <w:b/>
          <w:bCs/>
          <w:sz w:val="24"/>
          <w:szCs w:val="24"/>
        </w:rPr>
        <w:t>I</w:t>
      </w:r>
      <w:r w:rsidR="005E1559" w:rsidRPr="00D44E2B">
        <w:rPr>
          <w:rFonts w:ascii="Calibri" w:hAnsi="Calibri" w:cs="Calibri"/>
          <w:b/>
          <w:bCs/>
          <w:sz w:val="24"/>
          <w:szCs w:val="24"/>
        </w:rPr>
        <w:t>ntroducción</w:t>
      </w:r>
      <w:bookmarkStart w:id="2" w:name="_Hlk107137497"/>
      <w:bookmarkEnd w:id="2"/>
    </w:p>
    <w:p w14:paraId="21D1603A" w14:textId="25CC5844" w:rsidR="00F8304F" w:rsidRPr="009B3194" w:rsidRDefault="00F8304F" w:rsidP="003D0615">
      <w:pPr>
        <w:suppressAutoHyphens/>
        <w:spacing w:after="0" w:line="240" w:lineRule="auto"/>
        <w:ind w:right="900" w:firstLine="709"/>
        <w:jc w:val="both"/>
        <w:rPr>
          <w:rFonts w:ascii="Calibri" w:hAnsi="Calibri" w:cs="Calibri"/>
          <w:kern w:val="0"/>
          <w:sz w:val="24"/>
          <w:szCs w:val="24"/>
          <w:lang w:val="pt-BR"/>
          <w14:ligatures w14:val="none"/>
        </w:rPr>
      </w:pPr>
      <w:r w:rsidRPr="009B3194">
        <w:rPr>
          <w:rFonts w:ascii="Calibri" w:hAnsi="Calibri" w:cs="Calibri"/>
          <w:kern w:val="0"/>
          <w:sz w:val="24"/>
          <w:szCs w:val="24"/>
          <w:shd w:val="clear" w:color="auto" w:fill="FFFFFF"/>
          <w14:ligatures w14:val="none"/>
        </w:rPr>
        <w:t xml:space="preserve">Las Áreas Naturales Protegidas (ANP) son esenciales para la conservación de </w:t>
      </w:r>
      <w:r w:rsidRPr="009B3194">
        <w:rPr>
          <w:rFonts w:ascii="Calibri" w:hAnsi="Calibri" w:cs="Calibri"/>
          <w:kern w:val="0"/>
          <w:sz w:val="24"/>
          <w:szCs w:val="24"/>
          <w:lang w:val="pt-BR"/>
          <w14:ligatures w14:val="none"/>
        </w:rPr>
        <w:t xml:space="preserve">los ecosistemas y ofrecen beneficios tanto tangibles como intangibles (SEMARNAT, </w:t>
      </w:r>
      <w:r w:rsidR="009A15DE" w:rsidRPr="009B3194">
        <w:rPr>
          <w:rFonts w:ascii="Calibri" w:hAnsi="Calibri" w:cs="Calibri"/>
          <w:color w:val="C00000"/>
          <w:kern w:val="0"/>
          <w:sz w:val="24"/>
          <w:szCs w:val="24"/>
          <w:lang w:val="pt-BR"/>
          <w14:ligatures w14:val="none"/>
        </w:rPr>
        <w:t>1995</w:t>
      </w:r>
      <w:r w:rsidRPr="009B3194">
        <w:rPr>
          <w:rFonts w:ascii="Calibri" w:hAnsi="Calibri" w:cs="Calibri"/>
          <w:kern w:val="0"/>
          <w:sz w:val="24"/>
          <w:szCs w:val="24"/>
          <w:lang w:val="pt-BR"/>
          <w14:ligatures w14:val="none"/>
        </w:rPr>
        <w:t xml:space="preserve">). Muchas de estas áreas cuentan con vocación turística, atrayendo visitantes interesados en actividades de naturaleza como la observación de flora y fauna, senderismo y kayak (CONANP, </w:t>
      </w:r>
      <w:r w:rsidRPr="009B3194">
        <w:rPr>
          <w:rFonts w:ascii="Calibri" w:hAnsi="Calibri" w:cs="Calibri"/>
          <w:color w:val="C00000"/>
          <w:kern w:val="0"/>
          <w:sz w:val="24"/>
          <w:szCs w:val="24"/>
          <w:lang w:val="pt-BR"/>
          <w14:ligatures w14:val="none"/>
        </w:rPr>
        <w:t>2018</w:t>
      </w:r>
      <w:r w:rsidRPr="009B3194">
        <w:rPr>
          <w:rFonts w:ascii="Calibri" w:hAnsi="Calibri" w:cs="Calibri"/>
          <w:kern w:val="0"/>
          <w:sz w:val="24"/>
          <w:szCs w:val="24"/>
          <w:lang w:val="pt-BR"/>
          <w14:ligatures w14:val="none"/>
        </w:rPr>
        <w:t xml:space="preserve">). A nivel mundial, existen 303,313 áreas protegidas en 244 países y territorios, siendo </w:t>
      </w:r>
      <w:r w:rsidRPr="009B3194">
        <w:rPr>
          <w:rFonts w:ascii="Calibri" w:hAnsi="Calibri" w:cs="Calibri"/>
          <w:kern w:val="0"/>
          <w:sz w:val="24"/>
          <w:szCs w:val="24"/>
          <w:lang w:val="pt-BR"/>
          <w14:ligatures w14:val="none"/>
        </w:rPr>
        <w:lastRenderedPageBreak/>
        <w:t xml:space="preserve">Latinoamérica y el Caribe la región con mayor proporción de superficie protegida: aproximadamente 24% </w:t>
      </w:r>
      <w:r w:rsidR="00C03B97" w:rsidRPr="009B3194">
        <w:rPr>
          <w:rFonts w:ascii="Calibri" w:hAnsi="Calibri" w:cs="Calibri"/>
          <w:kern w:val="0"/>
          <w:sz w:val="24"/>
          <w:szCs w:val="24"/>
          <w:lang w:val="pt-BR"/>
          <w14:ligatures w14:val="none"/>
        </w:rPr>
        <w:t xml:space="preserve">áreas </w:t>
      </w:r>
      <w:r w:rsidR="00E02761" w:rsidRPr="009B3194">
        <w:rPr>
          <w:rFonts w:ascii="Calibri" w:hAnsi="Calibri" w:cs="Calibri"/>
          <w:kern w:val="0"/>
          <w:sz w:val="24"/>
          <w:szCs w:val="24"/>
          <w:lang w:val="pt-BR"/>
          <w14:ligatures w14:val="none"/>
        </w:rPr>
        <w:t>terrestres</w:t>
      </w:r>
      <w:r w:rsidRPr="009B3194">
        <w:rPr>
          <w:rFonts w:ascii="Calibri" w:hAnsi="Calibri" w:cs="Calibri"/>
          <w:kern w:val="0"/>
          <w:sz w:val="24"/>
          <w:szCs w:val="24"/>
          <w:lang w:val="pt-BR"/>
          <w14:ligatures w14:val="none"/>
        </w:rPr>
        <w:t xml:space="preserve"> y 25% </w:t>
      </w:r>
      <w:r w:rsidR="00E02761" w:rsidRPr="009B3194">
        <w:rPr>
          <w:rFonts w:ascii="Calibri" w:hAnsi="Calibri" w:cs="Calibri"/>
          <w:kern w:val="0"/>
          <w:sz w:val="24"/>
          <w:szCs w:val="24"/>
          <w:lang w:val="pt-BR"/>
          <w14:ligatures w14:val="none"/>
        </w:rPr>
        <w:t>marinas</w:t>
      </w:r>
      <w:r w:rsidRPr="009B3194">
        <w:rPr>
          <w:rFonts w:ascii="Calibri" w:hAnsi="Calibri" w:cs="Calibri"/>
          <w:kern w:val="0"/>
          <w:sz w:val="24"/>
          <w:szCs w:val="24"/>
          <w:lang w:val="pt-BR"/>
          <w14:ligatures w14:val="none"/>
        </w:rPr>
        <w:t xml:space="preserve"> (UNEP-WCMC, </w:t>
      </w:r>
      <w:r w:rsidRPr="009B3194">
        <w:rPr>
          <w:rFonts w:ascii="Calibri" w:hAnsi="Calibri" w:cs="Calibri"/>
          <w:color w:val="C00000"/>
          <w:kern w:val="0"/>
          <w:sz w:val="24"/>
          <w:szCs w:val="24"/>
          <w:lang w:val="pt-BR"/>
          <w14:ligatures w14:val="none"/>
        </w:rPr>
        <w:t>2025</w:t>
      </w:r>
      <w:r w:rsidRPr="009B3194">
        <w:rPr>
          <w:rFonts w:ascii="Calibri" w:hAnsi="Calibri" w:cs="Calibri"/>
          <w:kern w:val="0"/>
          <w:sz w:val="24"/>
          <w:szCs w:val="24"/>
          <w:lang w:val="pt-BR"/>
          <w14:ligatures w14:val="none"/>
        </w:rPr>
        <w:t xml:space="preserve">). En México, </w:t>
      </w:r>
      <w:r w:rsidR="00F760FB" w:rsidRPr="009B3194">
        <w:rPr>
          <w:rFonts w:ascii="Calibri" w:hAnsi="Calibri" w:cs="Calibri"/>
          <w:kern w:val="0"/>
          <w:sz w:val="24"/>
          <w:szCs w:val="24"/>
          <w:lang w:val="pt-BR"/>
          <w14:ligatures w14:val="none"/>
        </w:rPr>
        <w:t>existen</w:t>
      </w:r>
      <w:r w:rsidRPr="009B3194">
        <w:rPr>
          <w:rFonts w:ascii="Calibri" w:hAnsi="Calibri" w:cs="Calibri"/>
          <w:kern w:val="0"/>
          <w:sz w:val="24"/>
          <w:szCs w:val="24"/>
          <w:lang w:val="pt-BR"/>
          <w14:ligatures w14:val="none"/>
        </w:rPr>
        <w:t xml:space="preserve"> 232 ANP federales, de las cuales </w:t>
      </w:r>
      <w:r w:rsidR="00E02761" w:rsidRPr="009B3194">
        <w:rPr>
          <w:rFonts w:ascii="Calibri" w:hAnsi="Calibri" w:cs="Calibri"/>
          <w:kern w:val="0"/>
          <w:sz w:val="24"/>
          <w:szCs w:val="24"/>
          <w:lang w:val="pt-BR"/>
          <w14:ligatures w14:val="none"/>
        </w:rPr>
        <w:t>aproximadamente</w:t>
      </w:r>
      <w:r w:rsidRPr="009B3194">
        <w:rPr>
          <w:rFonts w:ascii="Calibri" w:hAnsi="Calibri" w:cs="Calibri"/>
          <w:kern w:val="0"/>
          <w:sz w:val="24"/>
          <w:szCs w:val="24"/>
          <w:lang w:val="pt-BR"/>
          <w14:ligatures w14:val="none"/>
        </w:rPr>
        <w:t xml:space="preserve"> 100 </w:t>
      </w:r>
      <w:r w:rsidR="00E02761" w:rsidRPr="009B3194">
        <w:rPr>
          <w:rFonts w:ascii="Calibri" w:hAnsi="Calibri" w:cs="Calibri"/>
          <w:kern w:val="0"/>
          <w:sz w:val="24"/>
          <w:szCs w:val="24"/>
          <w:lang w:val="pt-BR"/>
          <w14:ligatures w14:val="none"/>
        </w:rPr>
        <w:t>cuentan con</w:t>
      </w:r>
      <w:r w:rsidRPr="009B3194">
        <w:rPr>
          <w:rFonts w:ascii="Calibri" w:hAnsi="Calibri" w:cs="Calibri"/>
          <w:kern w:val="0"/>
          <w:sz w:val="24"/>
          <w:szCs w:val="24"/>
          <w:lang w:val="pt-BR"/>
          <w14:ligatures w14:val="none"/>
        </w:rPr>
        <w:t xml:space="preserve"> vocación turística (CONANP, </w:t>
      </w:r>
      <w:r w:rsidRPr="009B3194">
        <w:rPr>
          <w:rFonts w:ascii="Calibri" w:hAnsi="Calibri" w:cs="Calibri"/>
          <w:color w:val="C00000"/>
          <w:kern w:val="0"/>
          <w:sz w:val="24"/>
          <w:szCs w:val="24"/>
          <w:lang w:val="pt-BR"/>
          <w14:ligatures w14:val="none"/>
        </w:rPr>
        <w:t>2025</w:t>
      </w:r>
      <w:r w:rsidRPr="009B3194">
        <w:rPr>
          <w:rFonts w:ascii="Calibri" w:hAnsi="Calibri" w:cs="Calibri"/>
          <w:kern w:val="0"/>
          <w:sz w:val="24"/>
          <w:szCs w:val="24"/>
          <w:lang w:val="pt-BR"/>
          <w14:ligatures w14:val="none"/>
        </w:rPr>
        <w:t>).</w:t>
      </w:r>
    </w:p>
    <w:p w14:paraId="0F28EE1A" w14:textId="77777777" w:rsidR="00F8304F" w:rsidRPr="009B3194" w:rsidRDefault="00F8304F" w:rsidP="003D0615">
      <w:pPr>
        <w:suppressAutoHyphens/>
        <w:spacing w:after="0" w:line="240" w:lineRule="auto"/>
        <w:ind w:right="900" w:firstLine="709"/>
        <w:jc w:val="both"/>
        <w:rPr>
          <w:rFonts w:ascii="Calibri" w:hAnsi="Calibri" w:cs="Calibri"/>
          <w:kern w:val="0"/>
          <w:sz w:val="24"/>
          <w:szCs w:val="24"/>
          <w:lang w:val="pt-BR"/>
          <w14:ligatures w14:val="none"/>
        </w:rPr>
      </w:pPr>
    </w:p>
    <w:p w14:paraId="64C649B2" w14:textId="726293D2" w:rsidR="00F8304F" w:rsidRPr="00F8304F" w:rsidRDefault="00F8304F" w:rsidP="003D0615">
      <w:pPr>
        <w:suppressAutoHyphens/>
        <w:spacing w:after="0" w:line="240" w:lineRule="auto"/>
        <w:ind w:right="900" w:firstLine="709"/>
        <w:jc w:val="both"/>
        <w:rPr>
          <w:rFonts w:ascii="Calibri" w:hAnsi="Calibri" w:cs="Calibri"/>
          <w:kern w:val="0"/>
          <w:sz w:val="24"/>
          <w:szCs w:val="24"/>
          <w:shd w:val="clear" w:color="auto" w:fill="FFFFFF"/>
          <w14:ligatures w14:val="none"/>
        </w:rPr>
      </w:pPr>
      <w:r w:rsidRPr="00F8304F">
        <w:rPr>
          <w:rFonts w:ascii="Calibri" w:hAnsi="Calibri" w:cs="Calibri"/>
          <w:kern w:val="0"/>
          <w:sz w:val="24"/>
          <w:szCs w:val="24"/>
          <w:shd w:val="clear" w:color="auto" w:fill="FFFFFF"/>
          <w14:ligatures w14:val="none"/>
        </w:rPr>
        <w:t>El turismo en ANP puede generar beneficios económicos locales, pero también implica riesgos para la conservación del patrimonio natural y cultural si no se gestiona adecuadamente (</w:t>
      </w:r>
      <w:proofErr w:type="spellStart"/>
      <w:r w:rsidRPr="00F8304F">
        <w:rPr>
          <w:rFonts w:ascii="Calibri" w:hAnsi="Calibri" w:cs="Calibri"/>
          <w:kern w:val="0"/>
          <w:sz w:val="24"/>
          <w:szCs w:val="24"/>
          <w:shd w:val="clear" w:color="auto" w:fill="FFFFFF"/>
          <w14:ligatures w14:val="none"/>
        </w:rPr>
        <w:t>Tverijonaite</w:t>
      </w:r>
      <w:proofErr w:type="spellEnd"/>
      <w:r w:rsidRPr="00F8304F">
        <w:rPr>
          <w:rFonts w:ascii="Calibri" w:hAnsi="Calibri" w:cs="Calibri"/>
          <w:kern w:val="0"/>
          <w:sz w:val="24"/>
          <w:szCs w:val="24"/>
          <w:shd w:val="clear" w:color="auto" w:fill="FFFFFF"/>
          <w14:ligatures w14:val="none"/>
        </w:rPr>
        <w:t xml:space="preserve"> </w:t>
      </w:r>
      <w:r w:rsidRPr="00E40AAD">
        <w:rPr>
          <w:rFonts w:ascii="Calibri" w:hAnsi="Calibri" w:cs="Calibri"/>
          <w:i/>
          <w:iCs/>
          <w:kern w:val="0"/>
          <w:sz w:val="24"/>
          <w:szCs w:val="24"/>
          <w:shd w:val="clear" w:color="auto" w:fill="FFFFFF"/>
          <w14:ligatures w14:val="none"/>
        </w:rPr>
        <w:t>et al</w:t>
      </w:r>
      <w:r w:rsidRPr="00F8304F">
        <w:rPr>
          <w:rFonts w:ascii="Calibri" w:hAnsi="Calibri" w:cs="Calibri"/>
          <w:kern w:val="0"/>
          <w:sz w:val="24"/>
          <w:szCs w:val="24"/>
          <w:shd w:val="clear" w:color="auto" w:fill="FFFFFF"/>
          <w14:ligatures w14:val="none"/>
        </w:rPr>
        <w:t xml:space="preserve">., </w:t>
      </w:r>
      <w:r w:rsidRPr="00B252FE">
        <w:rPr>
          <w:rFonts w:ascii="Calibri" w:hAnsi="Calibri" w:cs="Calibri"/>
          <w:color w:val="C00000"/>
          <w:kern w:val="0"/>
          <w:sz w:val="24"/>
          <w:szCs w:val="24"/>
          <w:shd w:val="clear" w:color="auto" w:fill="FFFFFF"/>
          <w14:ligatures w14:val="none"/>
        </w:rPr>
        <w:t>2018</w:t>
      </w:r>
      <w:r w:rsidRPr="00F8304F">
        <w:rPr>
          <w:rFonts w:ascii="Calibri" w:hAnsi="Calibri" w:cs="Calibri"/>
          <w:kern w:val="0"/>
          <w:sz w:val="24"/>
          <w:szCs w:val="24"/>
          <w:shd w:val="clear" w:color="auto" w:fill="FFFFFF"/>
          <w14:ligatures w14:val="none"/>
        </w:rPr>
        <w:t>). Por ello, una gestión turística inadecuada puede comprometer los objetivos de conservación de estas áreas. Conocer los factores que determinan el flujo turístico es fundamental para diseñar políticas públicas y estrategias de manejo que permitan anticipar la demanda</w:t>
      </w:r>
      <w:r w:rsidR="0002053A">
        <w:rPr>
          <w:rFonts w:ascii="Calibri" w:hAnsi="Calibri" w:cs="Calibri"/>
          <w:kern w:val="0"/>
          <w:sz w:val="24"/>
          <w:szCs w:val="24"/>
          <w:shd w:val="clear" w:color="auto" w:fill="FFFFFF"/>
          <w14:ligatures w14:val="none"/>
        </w:rPr>
        <w:t xml:space="preserve"> turística</w:t>
      </w:r>
      <w:r w:rsidRPr="00F8304F">
        <w:rPr>
          <w:rFonts w:ascii="Calibri" w:hAnsi="Calibri" w:cs="Calibri"/>
          <w:kern w:val="0"/>
          <w:sz w:val="24"/>
          <w:szCs w:val="24"/>
          <w:shd w:val="clear" w:color="auto" w:fill="FFFFFF"/>
          <w14:ligatures w14:val="none"/>
        </w:rPr>
        <w:t>, adaptar la infraestructura y mitigar los impactos ambientales.</w:t>
      </w:r>
    </w:p>
    <w:p w14:paraId="26061C97" w14:textId="77777777" w:rsidR="00F8304F" w:rsidRPr="00F8304F" w:rsidRDefault="00F8304F" w:rsidP="003D0615">
      <w:pPr>
        <w:suppressAutoHyphens/>
        <w:spacing w:after="0" w:line="240" w:lineRule="auto"/>
        <w:ind w:left="708" w:right="900" w:firstLine="709"/>
        <w:jc w:val="both"/>
        <w:rPr>
          <w:rFonts w:ascii="Calibri" w:hAnsi="Calibri" w:cs="Calibri"/>
          <w:kern w:val="0"/>
          <w:sz w:val="24"/>
          <w:szCs w:val="24"/>
          <w:shd w:val="clear" w:color="auto" w:fill="FFFFFF"/>
          <w14:ligatures w14:val="none"/>
        </w:rPr>
      </w:pPr>
    </w:p>
    <w:p w14:paraId="5383880C" w14:textId="11CDFA16" w:rsidR="00F8304F" w:rsidRPr="00F8304F" w:rsidRDefault="00F8304F" w:rsidP="003D0615">
      <w:pPr>
        <w:suppressAutoHyphens/>
        <w:spacing w:after="0" w:line="240" w:lineRule="auto"/>
        <w:ind w:right="900" w:firstLine="709"/>
        <w:jc w:val="both"/>
        <w:rPr>
          <w:rFonts w:ascii="Calibri" w:hAnsi="Calibri" w:cs="Calibri"/>
          <w:kern w:val="0"/>
          <w:sz w:val="24"/>
          <w:szCs w:val="24"/>
          <w:shd w:val="clear" w:color="auto" w:fill="FFFFFF"/>
          <w14:ligatures w14:val="none"/>
        </w:rPr>
      </w:pPr>
      <w:r w:rsidRPr="003D0615">
        <w:rPr>
          <w:rFonts w:ascii="Calibri" w:hAnsi="Calibri" w:cs="Calibri"/>
          <w:kern w:val="0"/>
          <w:sz w:val="24"/>
          <w:szCs w:val="24"/>
          <w:shd w:val="clear" w:color="auto" w:fill="FFFFFF"/>
          <w14:ligatures w14:val="none"/>
        </w:rPr>
        <w:t>Este artículo tiene como objetivo explicar los principales factores que determinan el flujo turístico en la Reserva de la Biosfera El Pinacate y Gran Desierto de Altar (RBPGDA) durante el periodo 2009-2021. Se plantea la hipótesis de que las variables seleccionadas presentan coeficientes distintos de cero y son estadísticamente significativas para explicar dicho flujo.</w:t>
      </w:r>
    </w:p>
    <w:p w14:paraId="7807213A" w14:textId="77777777" w:rsidR="00F8304F" w:rsidRPr="00F8304F" w:rsidRDefault="00F8304F" w:rsidP="003D0615">
      <w:pPr>
        <w:suppressAutoHyphens/>
        <w:spacing w:after="0" w:line="240" w:lineRule="auto"/>
        <w:ind w:left="708" w:right="900" w:firstLine="709"/>
        <w:jc w:val="both"/>
        <w:rPr>
          <w:rFonts w:ascii="Calibri" w:hAnsi="Calibri" w:cs="Calibri"/>
          <w:kern w:val="0"/>
          <w:sz w:val="24"/>
          <w:szCs w:val="24"/>
          <w:shd w:val="clear" w:color="auto" w:fill="FFFFFF"/>
          <w14:ligatures w14:val="none"/>
        </w:rPr>
      </w:pPr>
    </w:p>
    <w:p w14:paraId="46919663" w14:textId="49C4FA52" w:rsidR="0049583F" w:rsidRPr="00D44E2B" w:rsidRDefault="00F8304F" w:rsidP="003D0615">
      <w:pPr>
        <w:suppressAutoHyphens/>
        <w:spacing w:after="0" w:line="240" w:lineRule="auto"/>
        <w:ind w:right="900" w:firstLine="709"/>
        <w:jc w:val="both"/>
        <w:rPr>
          <w:rFonts w:ascii="Calibri" w:hAnsi="Calibri" w:cs="Calibri"/>
          <w:kern w:val="0"/>
          <w:sz w:val="24"/>
          <w:szCs w:val="24"/>
          <w14:ligatures w14:val="none"/>
        </w:rPr>
      </w:pPr>
      <w:r w:rsidRPr="00F8304F">
        <w:rPr>
          <w:rFonts w:ascii="Calibri" w:hAnsi="Calibri" w:cs="Calibri"/>
          <w:kern w:val="0"/>
          <w:sz w:val="24"/>
          <w:szCs w:val="24"/>
          <w:shd w:val="clear" w:color="auto" w:fill="FFFFFF"/>
          <w14:ligatures w14:val="none"/>
        </w:rPr>
        <w:t>Según la Unión Internacional para la Conservación de la Naturaleza (UICN), un área</w:t>
      </w:r>
      <w:r w:rsidR="00C556E0">
        <w:rPr>
          <w:rFonts w:ascii="Calibri" w:hAnsi="Calibri" w:cs="Calibri"/>
          <w:kern w:val="0"/>
          <w:sz w:val="24"/>
          <w:szCs w:val="24"/>
          <w:shd w:val="clear" w:color="auto" w:fill="FFFFFF"/>
          <w14:ligatures w14:val="none"/>
        </w:rPr>
        <w:t xml:space="preserve"> </w:t>
      </w:r>
      <w:r w:rsidRPr="00F8304F">
        <w:rPr>
          <w:rFonts w:ascii="Calibri" w:hAnsi="Calibri" w:cs="Calibri"/>
          <w:kern w:val="0"/>
          <w:sz w:val="24"/>
          <w:szCs w:val="24"/>
          <w:shd w:val="clear" w:color="auto" w:fill="FFFFFF"/>
          <w14:ligatures w14:val="none"/>
        </w:rPr>
        <w:t>protegida es “un espacio geográfico claramente definido, reconocido, dedicado y gestionado mediante medios legales u otros tipos de medios eficaces para conseguir la conservación a largo plazo de la naturaleza, de sus servicios ecosistémicos y sus valores culturales asociados” (</w:t>
      </w:r>
      <w:r w:rsidRPr="001450C7">
        <w:rPr>
          <w:rFonts w:ascii="Calibri" w:hAnsi="Calibri" w:cs="Calibri"/>
          <w:kern w:val="0"/>
          <w:sz w:val="24"/>
          <w:szCs w:val="24"/>
          <w:shd w:val="clear" w:color="auto" w:fill="FFFFFF"/>
          <w14:ligatures w14:val="none"/>
        </w:rPr>
        <w:t>Dudley</w:t>
      </w:r>
      <w:r w:rsidRPr="005F384F">
        <w:rPr>
          <w:rFonts w:ascii="Calibri" w:hAnsi="Calibri" w:cs="Calibri"/>
          <w:color w:val="C00000"/>
          <w:kern w:val="0"/>
          <w:sz w:val="24"/>
          <w:szCs w:val="24"/>
          <w:shd w:val="clear" w:color="auto" w:fill="FFFFFF"/>
          <w14:ligatures w14:val="none"/>
        </w:rPr>
        <w:t>, 2008</w:t>
      </w:r>
      <w:r w:rsidRPr="00F8304F">
        <w:rPr>
          <w:rFonts w:ascii="Calibri" w:hAnsi="Calibri" w:cs="Calibri"/>
          <w:kern w:val="0"/>
          <w:sz w:val="24"/>
          <w:szCs w:val="24"/>
          <w:shd w:val="clear" w:color="auto" w:fill="FFFFFF"/>
          <w14:ligatures w14:val="none"/>
        </w:rPr>
        <w:t>, p. 10).</w:t>
      </w:r>
    </w:p>
    <w:p w14:paraId="1971F075" w14:textId="77777777" w:rsidR="00F8304F" w:rsidRDefault="00F8304F" w:rsidP="003D0615">
      <w:pPr>
        <w:suppressAutoHyphens/>
        <w:spacing w:line="240" w:lineRule="auto"/>
        <w:ind w:firstLine="709"/>
        <w:jc w:val="both"/>
        <w:rPr>
          <w:rFonts w:ascii="Calibri" w:hAnsi="Calibri" w:cs="Calibri"/>
          <w:b/>
          <w:bCs/>
          <w:kern w:val="0"/>
          <w:sz w:val="24"/>
          <w:szCs w:val="24"/>
          <w14:ligatures w14:val="none"/>
        </w:rPr>
      </w:pPr>
    </w:p>
    <w:p w14:paraId="5A432470" w14:textId="30431B10" w:rsidR="0049583F" w:rsidRPr="00D44E2B" w:rsidRDefault="00514E8A" w:rsidP="003D0615">
      <w:pPr>
        <w:suppressAutoHyphens/>
        <w:spacing w:line="240" w:lineRule="auto"/>
        <w:jc w:val="both"/>
        <w:rPr>
          <w:rFonts w:ascii="Calibri" w:hAnsi="Calibri" w:cs="Calibri"/>
          <w:b/>
          <w:bCs/>
          <w:kern w:val="0"/>
          <w:sz w:val="24"/>
          <w:szCs w:val="24"/>
          <w14:ligatures w14:val="none"/>
        </w:rPr>
      </w:pPr>
      <w:r>
        <w:rPr>
          <w:rFonts w:ascii="Calibri" w:hAnsi="Calibri" w:cs="Calibri"/>
          <w:b/>
          <w:bCs/>
          <w:kern w:val="0"/>
          <w:sz w:val="24"/>
          <w:szCs w:val="24"/>
          <w14:ligatures w14:val="none"/>
        </w:rPr>
        <w:t xml:space="preserve">1.1 </w:t>
      </w:r>
      <w:r w:rsidR="0049583F" w:rsidRPr="00D44E2B">
        <w:rPr>
          <w:rFonts w:ascii="Calibri" w:hAnsi="Calibri" w:cs="Calibri"/>
          <w:b/>
          <w:bCs/>
          <w:kern w:val="0"/>
          <w:sz w:val="24"/>
          <w:szCs w:val="24"/>
          <w14:ligatures w14:val="none"/>
        </w:rPr>
        <w:t>Variables explicativas del flujo turístico</w:t>
      </w:r>
    </w:p>
    <w:p w14:paraId="5CD9B9AC" w14:textId="0926306D" w:rsidR="0049583F" w:rsidRPr="00D44E2B" w:rsidRDefault="0049583F" w:rsidP="003D0615">
      <w:pPr>
        <w:suppressAutoHyphens/>
        <w:spacing w:line="240" w:lineRule="auto"/>
        <w:jc w:val="both"/>
        <w:rPr>
          <w:rFonts w:ascii="Calibri" w:hAnsi="Calibri" w:cs="Calibri"/>
          <w:i/>
          <w:iCs/>
          <w:kern w:val="0"/>
          <w:sz w:val="24"/>
          <w:szCs w:val="24"/>
          <w14:ligatures w14:val="none"/>
        </w:rPr>
      </w:pPr>
      <w:r w:rsidRPr="00D44E2B">
        <w:rPr>
          <w:rFonts w:ascii="Calibri" w:hAnsi="Calibri" w:cs="Calibri"/>
          <w:i/>
          <w:iCs/>
          <w:kern w:val="0"/>
          <w:sz w:val="24"/>
          <w:szCs w:val="24"/>
          <w14:ligatures w14:val="none"/>
        </w:rPr>
        <w:t xml:space="preserve">Sitios Patrimonio </w:t>
      </w:r>
      <w:r w:rsidR="006A3D1A">
        <w:rPr>
          <w:rFonts w:ascii="Calibri" w:hAnsi="Calibri" w:cs="Calibri"/>
          <w:i/>
          <w:iCs/>
          <w:kern w:val="0"/>
          <w:sz w:val="24"/>
          <w:szCs w:val="24"/>
          <w14:ligatures w14:val="none"/>
        </w:rPr>
        <w:t xml:space="preserve">Mundial </w:t>
      </w:r>
      <w:r w:rsidRPr="00D44E2B">
        <w:rPr>
          <w:rFonts w:ascii="Calibri" w:hAnsi="Calibri" w:cs="Calibri"/>
          <w:i/>
          <w:iCs/>
          <w:kern w:val="0"/>
          <w:sz w:val="24"/>
          <w:szCs w:val="24"/>
          <w14:ligatures w14:val="none"/>
        </w:rPr>
        <w:t>de la Humanidad</w:t>
      </w:r>
    </w:p>
    <w:p w14:paraId="6133EBB2" w14:textId="4E875D6C" w:rsidR="0070646C" w:rsidRPr="00D44E2B" w:rsidRDefault="0070646C" w:rsidP="003D0615">
      <w:pPr>
        <w:suppressAutoHyphens/>
        <w:spacing w:line="240" w:lineRule="auto"/>
        <w:ind w:firstLine="709"/>
        <w:jc w:val="both"/>
        <w:rPr>
          <w:rFonts w:ascii="Calibri" w:hAnsi="Calibri" w:cs="Calibri"/>
          <w:kern w:val="0"/>
          <w:sz w:val="24"/>
          <w:szCs w:val="24"/>
          <w14:ligatures w14:val="none"/>
        </w:rPr>
      </w:pPr>
      <w:r w:rsidRPr="00D44E2B">
        <w:rPr>
          <w:rFonts w:ascii="Calibri" w:hAnsi="Calibri" w:cs="Calibri"/>
          <w:kern w:val="0"/>
          <w:sz w:val="24"/>
          <w:szCs w:val="24"/>
          <w14:ligatures w14:val="none"/>
        </w:rPr>
        <w:t xml:space="preserve">De acuerdo con </w:t>
      </w:r>
      <w:proofErr w:type="spellStart"/>
      <w:r w:rsidRPr="00D44E2B">
        <w:rPr>
          <w:rFonts w:ascii="Calibri" w:hAnsi="Calibri" w:cs="Calibri"/>
          <w:kern w:val="0"/>
          <w:sz w:val="24"/>
          <w:szCs w:val="24"/>
          <w14:ligatures w14:val="none"/>
        </w:rPr>
        <w:t>Leonardi</w:t>
      </w:r>
      <w:proofErr w:type="spellEnd"/>
      <w:r w:rsidRPr="00D44E2B">
        <w:rPr>
          <w:rFonts w:ascii="Calibri" w:hAnsi="Calibri" w:cs="Calibri"/>
          <w:kern w:val="0"/>
          <w:sz w:val="24"/>
          <w:szCs w:val="24"/>
          <w14:ligatures w14:val="none"/>
        </w:rPr>
        <w:t xml:space="preserve"> </w:t>
      </w:r>
      <w:r w:rsidR="00F76164" w:rsidRPr="00F76164">
        <w:rPr>
          <w:rFonts w:ascii="Calibri" w:hAnsi="Calibri" w:cs="Calibri"/>
          <w:i/>
          <w:kern w:val="0"/>
          <w:sz w:val="24"/>
          <w:szCs w:val="24"/>
          <w14:ligatures w14:val="none"/>
        </w:rPr>
        <w:t>et al.</w:t>
      </w:r>
      <w:r w:rsidRPr="00D44E2B">
        <w:rPr>
          <w:rFonts w:ascii="Calibri" w:hAnsi="Calibri" w:cs="Calibri"/>
          <w:kern w:val="0"/>
          <w:sz w:val="24"/>
          <w:szCs w:val="24"/>
          <w14:ligatures w14:val="none"/>
        </w:rPr>
        <w:t xml:space="preserve"> (</w:t>
      </w:r>
      <w:r w:rsidRPr="00713C3C">
        <w:rPr>
          <w:rFonts w:ascii="Calibri" w:hAnsi="Calibri" w:cs="Calibri"/>
          <w:color w:val="C00000"/>
          <w:kern w:val="0"/>
          <w:sz w:val="24"/>
          <w:szCs w:val="24"/>
          <w14:ligatures w14:val="none"/>
        </w:rPr>
        <w:t>2022</w:t>
      </w:r>
      <w:r w:rsidRPr="00D44E2B">
        <w:rPr>
          <w:rFonts w:ascii="Calibri" w:hAnsi="Calibri" w:cs="Calibri"/>
          <w:kern w:val="0"/>
          <w:sz w:val="24"/>
          <w:szCs w:val="24"/>
          <w14:ligatures w14:val="none"/>
        </w:rPr>
        <w:t xml:space="preserve">) el turismo impacta positivamente en el crecimiento económico de los destinos receptores. Los sitios designados como </w:t>
      </w:r>
      <w:r w:rsidR="00ED454C">
        <w:rPr>
          <w:rFonts w:ascii="Calibri" w:hAnsi="Calibri" w:cs="Calibri"/>
          <w:kern w:val="0"/>
          <w:sz w:val="24"/>
          <w:szCs w:val="24"/>
          <w14:ligatures w14:val="none"/>
        </w:rPr>
        <w:t>P</w:t>
      </w:r>
      <w:r w:rsidRPr="00D44E2B">
        <w:rPr>
          <w:rFonts w:ascii="Calibri" w:hAnsi="Calibri" w:cs="Calibri"/>
          <w:kern w:val="0"/>
          <w:sz w:val="24"/>
          <w:szCs w:val="24"/>
          <w14:ligatures w14:val="none"/>
        </w:rPr>
        <w:t xml:space="preserve">atrimonio </w:t>
      </w:r>
      <w:r w:rsidR="00ED454C">
        <w:rPr>
          <w:rFonts w:ascii="Calibri" w:hAnsi="Calibri" w:cs="Calibri"/>
          <w:kern w:val="0"/>
          <w:sz w:val="24"/>
          <w:szCs w:val="24"/>
          <w14:ligatures w14:val="none"/>
        </w:rPr>
        <w:t>M</w:t>
      </w:r>
      <w:r w:rsidRPr="00D44E2B">
        <w:rPr>
          <w:rFonts w:ascii="Calibri" w:hAnsi="Calibri" w:cs="Calibri"/>
          <w:kern w:val="0"/>
          <w:sz w:val="24"/>
          <w:szCs w:val="24"/>
          <w14:ligatures w14:val="none"/>
        </w:rPr>
        <w:t>undial influyen positivamente en el flujo turístico, especialmente extranjero (Porto</w:t>
      </w:r>
      <w:r w:rsidR="009271C4">
        <w:rPr>
          <w:rFonts w:ascii="Calibri" w:hAnsi="Calibri" w:cs="Calibri"/>
          <w:kern w:val="0"/>
          <w:sz w:val="24"/>
          <w:szCs w:val="24"/>
          <w14:ligatures w14:val="none"/>
        </w:rPr>
        <w:t xml:space="preserve"> </w:t>
      </w:r>
      <w:r w:rsidR="00EC7FC9" w:rsidRPr="00EC7FC9">
        <w:rPr>
          <w:rFonts w:ascii="Calibri" w:hAnsi="Calibri" w:cs="Calibri"/>
          <w:i/>
          <w:iCs/>
          <w:kern w:val="0"/>
          <w:sz w:val="24"/>
          <w:szCs w:val="24"/>
          <w14:ligatures w14:val="none"/>
        </w:rPr>
        <w:t>et al</w:t>
      </w:r>
      <w:r w:rsidR="00EC7FC9">
        <w:rPr>
          <w:rFonts w:ascii="Calibri" w:hAnsi="Calibri" w:cs="Calibri"/>
          <w:kern w:val="0"/>
          <w:sz w:val="24"/>
          <w:szCs w:val="24"/>
          <w14:ligatures w14:val="none"/>
        </w:rPr>
        <w:t>.,</w:t>
      </w:r>
      <w:r w:rsidR="009271C4">
        <w:rPr>
          <w:rFonts w:ascii="Calibri" w:hAnsi="Calibri" w:cs="Calibri"/>
          <w:kern w:val="0"/>
          <w:sz w:val="24"/>
          <w:szCs w:val="24"/>
          <w14:ligatures w14:val="none"/>
        </w:rPr>
        <w:t xml:space="preserve"> </w:t>
      </w:r>
      <w:r w:rsidRPr="001450C7">
        <w:rPr>
          <w:rFonts w:ascii="Calibri" w:hAnsi="Calibri" w:cs="Calibri"/>
          <w:color w:val="C00000"/>
          <w:kern w:val="0"/>
          <w:sz w:val="24"/>
          <w:szCs w:val="24"/>
          <w14:ligatures w14:val="none"/>
        </w:rPr>
        <w:t>2017</w:t>
      </w:r>
      <w:r w:rsidRPr="00D44E2B">
        <w:rPr>
          <w:rFonts w:ascii="Calibri" w:hAnsi="Calibri" w:cs="Calibri"/>
          <w:kern w:val="0"/>
          <w:sz w:val="24"/>
          <w:szCs w:val="24"/>
          <w14:ligatures w14:val="none"/>
        </w:rPr>
        <w:t xml:space="preserve">; Su </w:t>
      </w:r>
      <w:r w:rsidR="00B252FE">
        <w:rPr>
          <w:rFonts w:ascii="Calibri" w:hAnsi="Calibri" w:cs="Calibri"/>
          <w:kern w:val="0"/>
          <w:sz w:val="24"/>
          <w:szCs w:val="24"/>
          <w14:ligatures w14:val="none"/>
        </w:rPr>
        <w:t>&amp;</w:t>
      </w:r>
      <w:r w:rsidRPr="00D44E2B">
        <w:rPr>
          <w:rFonts w:ascii="Calibri" w:hAnsi="Calibri" w:cs="Calibri"/>
          <w:kern w:val="0"/>
          <w:sz w:val="24"/>
          <w:szCs w:val="24"/>
          <w14:ligatures w14:val="none"/>
        </w:rPr>
        <w:t xml:space="preserve"> Lin, </w:t>
      </w:r>
      <w:r w:rsidRPr="0020327E">
        <w:rPr>
          <w:rFonts w:ascii="Calibri" w:hAnsi="Calibri" w:cs="Calibri"/>
          <w:color w:val="C00000"/>
          <w:kern w:val="0"/>
          <w:sz w:val="24"/>
          <w:szCs w:val="24"/>
          <w14:ligatures w14:val="none"/>
        </w:rPr>
        <w:t>2014</w:t>
      </w:r>
      <w:r w:rsidRPr="00D44E2B">
        <w:rPr>
          <w:rFonts w:ascii="Calibri" w:hAnsi="Calibri" w:cs="Calibri"/>
          <w:kern w:val="0"/>
          <w:sz w:val="24"/>
          <w:szCs w:val="24"/>
          <w14:ligatures w14:val="none"/>
        </w:rPr>
        <w:t xml:space="preserve">). </w:t>
      </w:r>
      <w:r w:rsidR="004C191C">
        <w:rPr>
          <w:rFonts w:ascii="Calibri" w:hAnsi="Calibri" w:cs="Calibri"/>
          <w:kern w:val="0"/>
          <w:sz w:val="24"/>
          <w:szCs w:val="24"/>
          <w14:ligatures w14:val="none"/>
        </w:rPr>
        <w:t xml:space="preserve">Por su parte, </w:t>
      </w:r>
      <w:r w:rsidRPr="00D44E2B">
        <w:rPr>
          <w:rFonts w:ascii="Calibri" w:hAnsi="Calibri" w:cs="Calibri"/>
          <w:kern w:val="0"/>
          <w:sz w:val="24"/>
          <w:szCs w:val="24"/>
          <w14:ligatures w14:val="none"/>
        </w:rPr>
        <w:t xml:space="preserve">Yang </w:t>
      </w:r>
      <w:r w:rsidR="00F76164" w:rsidRPr="00F76164">
        <w:rPr>
          <w:rFonts w:ascii="Calibri" w:hAnsi="Calibri" w:cs="Calibri"/>
          <w:i/>
          <w:kern w:val="0"/>
          <w:sz w:val="24"/>
          <w:szCs w:val="24"/>
          <w14:ligatures w14:val="none"/>
        </w:rPr>
        <w:t>et al.</w:t>
      </w:r>
      <w:r w:rsidRPr="00D44E2B">
        <w:rPr>
          <w:rFonts w:ascii="Calibri" w:hAnsi="Calibri" w:cs="Calibri"/>
          <w:kern w:val="0"/>
          <w:sz w:val="24"/>
          <w:szCs w:val="24"/>
          <w14:ligatures w14:val="none"/>
        </w:rPr>
        <w:t xml:space="preserve"> (</w:t>
      </w:r>
      <w:r w:rsidRPr="0095084C">
        <w:rPr>
          <w:rFonts w:ascii="Calibri" w:hAnsi="Calibri" w:cs="Calibri"/>
          <w:color w:val="C00000"/>
          <w:kern w:val="0"/>
          <w:sz w:val="24"/>
          <w:szCs w:val="24"/>
          <w14:ligatures w14:val="none"/>
        </w:rPr>
        <w:t>2010</w:t>
      </w:r>
      <w:r w:rsidRPr="00D44E2B">
        <w:rPr>
          <w:rFonts w:ascii="Calibri" w:hAnsi="Calibri" w:cs="Calibri"/>
          <w:kern w:val="0"/>
          <w:sz w:val="24"/>
          <w:szCs w:val="24"/>
          <w14:ligatures w14:val="none"/>
        </w:rPr>
        <w:t xml:space="preserve">) señalan que </w:t>
      </w:r>
      <w:r w:rsidR="00817C72">
        <w:rPr>
          <w:rFonts w:ascii="Calibri" w:hAnsi="Calibri" w:cs="Calibri"/>
          <w:kern w:val="0"/>
          <w:sz w:val="24"/>
          <w:szCs w:val="24"/>
          <w14:ligatures w14:val="none"/>
        </w:rPr>
        <w:t>estos sitios</w:t>
      </w:r>
      <w:r w:rsidRPr="00D44E2B">
        <w:rPr>
          <w:rFonts w:ascii="Calibri" w:hAnsi="Calibri" w:cs="Calibri"/>
          <w:kern w:val="0"/>
          <w:sz w:val="24"/>
          <w:szCs w:val="24"/>
          <w14:ligatures w14:val="none"/>
        </w:rPr>
        <w:t xml:space="preserve"> son atractivos para turistas internacionales y ofrecen ventajas como estrategia de </w:t>
      </w:r>
      <w:r w:rsidRPr="006A3D1A">
        <w:rPr>
          <w:rFonts w:ascii="Calibri" w:hAnsi="Calibri" w:cs="Calibri"/>
          <w:i/>
          <w:iCs/>
          <w:kern w:val="0"/>
          <w:sz w:val="24"/>
          <w:szCs w:val="24"/>
          <w14:ligatures w14:val="none"/>
        </w:rPr>
        <w:t>marketing</w:t>
      </w:r>
      <w:r w:rsidRPr="00D44E2B">
        <w:rPr>
          <w:rFonts w:ascii="Calibri" w:hAnsi="Calibri" w:cs="Calibri"/>
          <w:kern w:val="0"/>
          <w:sz w:val="24"/>
          <w:szCs w:val="24"/>
          <w14:ligatures w14:val="none"/>
        </w:rPr>
        <w:t xml:space="preserve"> y </w:t>
      </w:r>
      <w:r w:rsidR="00FD11F3" w:rsidRPr="00ED454C">
        <w:rPr>
          <w:rFonts w:ascii="Calibri" w:hAnsi="Calibri" w:cs="Calibri"/>
          <w:kern w:val="0"/>
          <w:sz w:val="24"/>
          <w:szCs w:val="24"/>
          <w14:ligatures w14:val="none"/>
        </w:rPr>
        <w:t>apoyo</w:t>
      </w:r>
      <w:r w:rsidRPr="00D44E2B">
        <w:rPr>
          <w:rFonts w:ascii="Calibri" w:hAnsi="Calibri" w:cs="Calibri"/>
          <w:kern w:val="0"/>
          <w:sz w:val="24"/>
          <w:szCs w:val="24"/>
          <w14:ligatures w14:val="none"/>
        </w:rPr>
        <w:t xml:space="preserve"> de la UNESCO.</w:t>
      </w:r>
      <w:r w:rsidR="002E74E7" w:rsidRPr="00D44E2B">
        <w:rPr>
          <w:rFonts w:ascii="Calibri" w:hAnsi="Calibri" w:cs="Calibri"/>
          <w:kern w:val="0"/>
          <w:sz w:val="24"/>
          <w:szCs w:val="24"/>
          <w14:ligatures w14:val="none"/>
        </w:rPr>
        <w:t xml:space="preserve"> </w:t>
      </w:r>
      <w:proofErr w:type="spellStart"/>
      <w:r w:rsidRPr="00D44E2B">
        <w:rPr>
          <w:rFonts w:ascii="Calibri" w:hAnsi="Calibri" w:cs="Calibri"/>
          <w:kern w:val="0"/>
          <w:sz w:val="24"/>
          <w:szCs w:val="24"/>
          <w14:ligatures w14:val="none"/>
        </w:rPr>
        <w:t>Jimura</w:t>
      </w:r>
      <w:proofErr w:type="spellEnd"/>
      <w:r w:rsidRPr="00D44E2B">
        <w:rPr>
          <w:rFonts w:ascii="Calibri" w:hAnsi="Calibri" w:cs="Calibri"/>
          <w:kern w:val="0"/>
          <w:sz w:val="24"/>
          <w:szCs w:val="24"/>
          <w14:ligatures w14:val="none"/>
        </w:rPr>
        <w:t xml:space="preserve"> (</w:t>
      </w:r>
      <w:r w:rsidRPr="00155B6B">
        <w:rPr>
          <w:rFonts w:ascii="Calibri" w:hAnsi="Calibri" w:cs="Calibri"/>
          <w:color w:val="C00000"/>
          <w:kern w:val="0"/>
          <w:sz w:val="24"/>
          <w:szCs w:val="24"/>
          <w14:ligatures w14:val="none"/>
        </w:rPr>
        <w:t>2019</w:t>
      </w:r>
      <w:r w:rsidRPr="00D44E2B">
        <w:rPr>
          <w:rFonts w:ascii="Calibri" w:hAnsi="Calibri" w:cs="Calibri"/>
          <w:kern w:val="0"/>
          <w:sz w:val="24"/>
          <w:szCs w:val="24"/>
          <w14:ligatures w14:val="none"/>
        </w:rPr>
        <w:t xml:space="preserve">) menciona el turismo patrimonial como una nueva variedad enfocada en visitar </w:t>
      </w:r>
      <w:r w:rsidR="00BA34E8">
        <w:rPr>
          <w:rFonts w:ascii="Calibri" w:hAnsi="Calibri" w:cs="Calibri"/>
          <w:kern w:val="0"/>
          <w:sz w:val="24"/>
          <w:szCs w:val="24"/>
          <w14:ligatures w14:val="none"/>
        </w:rPr>
        <w:t>sitios Patrimonio Mundial</w:t>
      </w:r>
      <w:r w:rsidRPr="00D44E2B">
        <w:rPr>
          <w:rFonts w:ascii="Calibri" w:hAnsi="Calibri" w:cs="Calibri"/>
          <w:kern w:val="0"/>
          <w:sz w:val="24"/>
          <w:szCs w:val="24"/>
          <w14:ligatures w14:val="none"/>
        </w:rPr>
        <w:t xml:space="preserve">. Los visitantes de estos sitios suelen tener un alto nivel educativo </w:t>
      </w:r>
      <w:r w:rsidRPr="00C93500">
        <w:rPr>
          <w:rFonts w:ascii="Calibri" w:hAnsi="Calibri" w:cs="Calibri"/>
          <w:kern w:val="0"/>
          <w:sz w:val="24"/>
          <w:szCs w:val="24"/>
          <w14:ligatures w14:val="none"/>
        </w:rPr>
        <w:t>(</w:t>
      </w:r>
      <w:proofErr w:type="spellStart"/>
      <w:r w:rsidRPr="00C93500">
        <w:rPr>
          <w:rFonts w:ascii="Calibri" w:hAnsi="Calibri" w:cs="Calibri"/>
          <w:kern w:val="0"/>
          <w:sz w:val="24"/>
          <w:szCs w:val="24"/>
          <w14:ligatures w14:val="none"/>
        </w:rPr>
        <w:t>Adie</w:t>
      </w:r>
      <w:proofErr w:type="spellEnd"/>
      <w:r w:rsidRPr="00C93500">
        <w:rPr>
          <w:rFonts w:ascii="Calibri" w:hAnsi="Calibri" w:cs="Calibri"/>
          <w:kern w:val="0"/>
          <w:sz w:val="24"/>
          <w:szCs w:val="24"/>
          <w14:ligatures w14:val="none"/>
        </w:rPr>
        <w:t xml:space="preserve"> </w:t>
      </w:r>
      <w:r w:rsidR="00474117" w:rsidRPr="00C93500">
        <w:rPr>
          <w:rFonts w:ascii="Calibri" w:hAnsi="Calibri" w:cs="Calibri"/>
          <w:kern w:val="0"/>
          <w:sz w:val="24"/>
          <w:szCs w:val="24"/>
          <w14:ligatures w14:val="none"/>
        </w:rPr>
        <w:t xml:space="preserve">and </w:t>
      </w:r>
      <w:r w:rsidRPr="00C93500">
        <w:rPr>
          <w:rFonts w:ascii="Calibri" w:hAnsi="Calibri" w:cs="Calibri"/>
          <w:kern w:val="0"/>
          <w:sz w:val="24"/>
          <w:szCs w:val="24"/>
          <w14:ligatures w14:val="none"/>
        </w:rPr>
        <w:t xml:space="preserve">Hall, </w:t>
      </w:r>
      <w:r w:rsidRPr="00DF2748">
        <w:rPr>
          <w:rFonts w:ascii="Calibri" w:hAnsi="Calibri" w:cs="Calibri"/>
          <w:color w:val="C00000"/>
          <w:kern w:val="0"/>
          <w:sz w:val="24"/>
          <w:szCs w:val="24"/>
          <w14:ligatures w14:val="none"/>
        </w:rPr>
        <w:t>2017</w:t>
      </w:r>
      <w:r w:rsidRPr="00AE163E">
        <w:rPr>
          <w:rFonts w:ascii="Calibri" w:hAnsi="Calibri" w:cs="Calibri"/>
          <w:kern w:val="0"/>
          <w:sz w:val="24"/>
          <w:szCs w:val="24"/>
          <w14:ligatures w14:val="none"/>
        </w:rPr>
        <w:t>)</w:t>
      </w:r>
      <w:r w:rsidRPr="00DF2748">
        <w:rPr>
          <w:rFonts w:ascii="Calibri" w:hAnsi="Calibri" w:cs="Calibri"/>
          <w:color w:val="C00000"/>
          <w:kern w:val="0"/>
          <w:sz w:val="24"/>
          <w:szCs w:val="24"/>
          <w14:ligatures w14:val="none"/>
        </w:rPr>
        <w:t xml:space="preserve">. </w:t>
      </w:r>
      <w:r w:rsidRPr="00D44E2B">
        <w:rPr>
          <w:rFonts w:ascii="Calibri" w:hAnsi="Calibri" w:cs="Calibri"/>
          <w:kern w:val="0"/>
          <w:sz w:val="24"/>
          <w:szCs w:val="24"/>
          <w14:ligatures w14:val="none"/>
        </w:rPr>
        <w:t xml:space="preserve">Los </w:t>
      </w:r>
      <w:r w:rsidR="00BA34E8">
        <w:rPr>
          <w:rFonts w:ascii="Calibri" w:hAnsi="Calibri" w:cs="Calibri"/>
          <w:kern w:val="0"/>
          <w:sz w:val="24"/>
          <w:szCs w:val="24"/>
          <w14:ligatures w14:val="none"/>
        </w:rPr>
        <w:t>sitios Patrimonio Mundial</w:t>
      </w:r>
      <w:r w:rsidRPr="00D44E2B">
        <w:rPr>
          <w:rFonts w:ascii="Calibri" w:hAnsi="Calibri" w:cs="Calibri"/>
          <w:kern w:val="0"/>
          <w:sz w:val="24"/>
          <w:szCs w:val="24"/>
          <w14:ligatures w14:val="none"/>
        </w:rPr>
        <w:t xml:space="preserve"> funcionan como herramienta de </w:t>
      </w:r>
      <w:r w:rsidRPr="006A3D1A">
        <w:rPr>
          <w:rFonts w:ascii="Calibri" w:hAnsi="Calibri" w:cs="Calibri"/>
          <w:i/>
          <w:iCs/>
          <w:kern w:val="0"/>
          <w:sz w:val="24"/>
          <w:szCs w:val="24"/>
          <w14:ligatures w14:val="none"/>
        </w:rPr>
        <w:t>marketing</w:t>
      </w:r>
      <w:r w:rsidRPr="00D44E2B">
        <w:rPr>
          <w:rFonts w:ascii="Calibri" w:hAnsi="Calibri" w:cs="Calibri"/>
          <w:kern w:val="0"/>
          <w:sz w:val="24"/>
          <w:szCs w:val="24"/>
          <w14:ligatures w14:val="none"/>
        </w:rPr>
        <w:t xml:space="preserve"> turístico, mejorando la imagen del destino y aumentando el flujo de visitantes. Varios estudios han demostrado efectos positivos de la promoción de destinos </w:t>
      </w:r>
      <w:r w:rsidRPr="00D44E2B">
        <w:rPr>
          <w:rFonts w:ascii="Calibri" w:hAnsi="Calibri" w:cs="Calibri"/>
          <w:kern w:val="0"/>
          <w:sz w:val="24"/>
          <w:szCs w:val="24"/>
          <w14:ligatures w14:val="none"/>
        </w:rPr>
        <w:lastRenderedPageBreak/>
        <w:t>turísticos a través de</w:t>
      </w:r>
      <w:r w:rsidR="00BA34E8">
        <w:rPr>
          <w:rFonts w:ascii="Calibri" w:hAnsi="Calibri" w:cs="Calibri"/>
          <w:kern w:val="0"/>
          <w:sz w:val="24"/>
          <w:szCs w:val="24"/>
          <w14:ligatures w14:val="none"/>
        </w:rPr>
        <w:t xml:space="preserve"> estos lugares</w:t>
      </w:r>
      <w:r w:rsidRPr="00D44E2B">
        <w:rPr>
          <w:rFonts w:ascii="Calibri" w:hAnsi="Calibri" w:cs="Calibri"/>
          <w:kern w:val="0"/>
          <w:sz w:val="24"/>
          <w:szCs w:val="24"/>
          <w14:ligatures w14:val="none"/>
        </w:rPr>
        <w:t xml:space="preserve"> (Smith, </w:t>
      </w:r>
      <w:r w:rsidRPr="009D2E6B">
        <w:rPr>
          <w:rFonts w:ascii="Calibri" w:hAnsi="Calibri" w:cs="Calibri"/>
          <w:color w:val="C00000"/>
          <w:kern w:val="0"/>
          <w:sz w:val="24"/>
          <w:szCs w:val="24"/>
          <w14:ligatures w14:val="none"/>
        </w:rPr>
        <w:t>2002</w:t>
      </w:r>
      <w:r w:rsidRPr="00D44E2B">
        <w:rPr>
          <w:rFonts w:ascii="Calibri" w:hAnsi="Calibri" w:cs="Calibri"/>
          <w:kern w:val="0"/>
          <w:sz w:val="24"/>
          <w:szCs w:val="24"/>
          <w14:ligatures w14:val="none"/>
        </w:rPr>
        <w:t xml:space="preserve">; </w:t>
      </w:r>
      <w:proofErr w:type="spellStart"/>
      <w:r w:rsidRPr="00D44E2B">
        <w:rPr>
          <w:rFonts w:ascii="Calibri" w:hAnsi="Calibri" w:cs="Calibri"/>
          <w:kern w:val="0"/>
          <w:sz w:val="24"/>
          <w:szCs w:val="24"/>
          <w14:ligatures w14:val="none"/>
        </w:rPr>
        <w:t>Jimura</w:t>
      </w:r>
      <w:proofErr w:type="spellEnd"/>
      <w:r w:rsidRPr="00D44E2B">
        <w:rPr>
          <w:rFonts w:ascii="Calibri" w:hAnsi="Calibri" w:cs="Calibri"/>
          <w:kern w:val="0"/>
          <w:sz w:val="24"/>
          <w:szCs w:val="24"/>
          <w14:ligatures w14:val="none"/>
        </w:rPr>
        <w:t xml:space="preserve"> </w:t>
      </w:r>
      <w:r w:rsidRPr="00155B6B">
        <w:rPr>
          <w:rFonts w:ascii="Calibri" w:hAnsi="Calibri" w:cs="Calibri"/>
          <w:color w:val="C00000"/>
          <w:kern w:val="0"/>
          <w:sz w:val="24"/>
          <w:szCs w:val="24"/>
          <w14:ligatures w14:val="none"/>
        </w:rPr>
        <w:t>2007</w:t>
      </w:r>
      <w:r w:rsidRPr="00D44E2B">
        <w:rPr>
          <w:rFonts w:ascii="Calibri" w:hAnsi="Calibri" w:cs="Calibri"/>
          <w:kern w:val="0"/>
          <w:sz w:val="24"/>
          <w:szCs w:val="24"/>
          <w14:ligatures w14:val="none"/>
        </w:rPr>
        <w:t>,</w:t>
      </w:r>
      <w:r w:rsidRPr="006C39E8">
        <w:rPr>
          <w:rFonts w:ascii="Calibri" w:hAnsi="Calibri" w:cs="Calibri"/>
          <w:color w:val="C00000"/>
          <w:kern w:val="0"/>
          <w:sz w:val="24"/>
          <w:szCs w:val="24"/>
          <w14:ligatures w14:val="none"/>
        </w:rPr>
        <w:t xml:space="preserve"> 2016</w:t>
      </w:r>
      <w:r w:rsidRPr="00D44E2B">
        <w:rPr>
          <w:rFonts w:ascii="Calibri" w:hAnsi="Calibri" w:cs="Calibri"/>
          <w:kern w:val="0"/>
          <w:sz w:val="24"/>
          <w:szCs w:val="24"/>
          <w14:ligatures w14:val="none"/>
        </w:rPr>
        <w:t xml:space="preserve">; </w:t>
      </w:r>
      <w:proofErr w:type="spellStart"/>
      <w:r w:rsidRPr="00AE163E">
        <w:rPr>
          <w:rFonts w:ascii="Calibri" w:hAnsi="Calibri" w:cs="Calibri"/>
          <w:kern w:val="0"/>
          <w:sz w:val="24"/>
          <w:szCs w:val="24"/>
          <w14:ligatures w14:val="none"/>
        </w:rPr>
        <w:t>Anholt</w:t>
      </w:r>
      <w:proofErr w:type="spellEnd"/>
      <w:r w:rsidRPr="00AE163E">
        <w:rPr>
          <w:rFonts w:ascii="Calibri" w:hAnsi="Calibri" w:cs="Calibri"/>
          <w:kern w:val="0"/>
          <w:sz w:val="24"/>
          <w:szCs w:val="24"/>
          <w14:ligatures w14:val="none"/>
        </w:rPr>
        <w:t xml:space="preserve"> </w:t>
      </w:r>
      <w:r w:rsidRPr="003B6C16">
        <w:rPr>
          <w:rFonts w:ascii="Calibri" w:hAnsi="Calibri" w:cs="Calibri"/>
          <w:color w:val="C00000"/>
          <w:kern w:val="0"/>
          <w:sz w:val="24"/>
          <w:szCs w:val="24"/>
          <w14:ligatures w14:val="none"/>
        </w:rPr>
        <w:t>1998</w:t>
      </w:r>
      <w:r w:rsidRPr="00D44E2B">
        <w:rPr>
          <w:rFonts w:ascii="Calibri" w:hAnsi="Calibri" w:cs="Calibri"/>
          <w:kern w:val="0"/>
          <w:sz w:val="24"/>
          <w:szCs w:val="24"/>
          <w14:ligatures w14:val="none"/>
        </w:rPr>
        <w:t xml:space="preserve">; Timothy </w:t>
      </w:r>
      <w:r w:rsidRPr="00B252FE">
        <w:rPr>
          <w:rFonts w:ascii="Calibri" w:hAnsi="Calibri" w:cs="Calibri"/>
          <w:color w:val="C00000"/>
          <w:kern w:val="0"/>
          <w:sz w:val="24"/>
          <w:szCs w:val="24"/>
          <w14:ligatures w14:val="none"/>
        </w:rPr>
        <w:t>2011</w:t>
      </w:r>
      <w:r w:rsidRPr="00D44E2B">
        <w:rPr>
          <w:rFonts w:ascii="Calibri" w:hAnsi="Calibri" w:cs="Calibri"/>
          <w:kern w:val="0"/>
          <w:sz w:val="24"/>
          <w:szCs w:val="24"/>
          <w14:ligatures w14:val="none"/>
        </w:rPr>
        <w:t xml:space="preserve">; </w:t>
      </w:r>
      <w:proofErr w:type="spellStart"/>
      <w:r w:rsidRPr="00AE163E">
        <w:rPr>
          <w:rFonts w:ascii="Calibri" w:hAnsi="Calibri" w:cs="Calibri"/>
          <w:kern w:val="0"/>
          <w:sz w:val="24"/>
          <w:szCs w:val="24"/>
          <w14:ligatures w14:val="none"/>
        </w:rPr>
        <w:t>Cassel</w:t>
      </w:r>
      <w:proofErr w:type="spellEnd"/>
      <w:r w:rsidRPr="00AE163E">
        <w:rPr>
          <w:rFonts w:ascii="Calibri" w:hAnsi="Calibri" w:cs="Calibri"/>
          <w:kern w:val="0"/>
          <w:sz w:val="24"/>
          <w:szCs w:val="24"/>
          <w14:ligatures w14:val="none"/>
        </w:rPr>
        <w:t xml:space="preserve"> </w:t>
      </w:r>
      <w:r w:rsidR="009804DF" w:rsidRPr="00AE163E">
        <w:rPr>
          <w:rFonts w:ascii="Calibri" w:hAnsi="Calibri" w:cs="Calibri"/>
          <w:kern w:val="0"/>
          <w:sz w:val="24"/>
          <w:szCs w:val="24"/>
          <w14:ligatures w14:val="none"/>
        </w:rPr>
        <w:t>&amp;</w:t>
      </w:r>
      <w:r w:rsidRPr="00AE163E">
        <w:rPr>
          <w:rFonts w:ascii="Calibri" w:hAnsi="Calibri" w:cs="Calibri"/>
          <w:kern w:val="0"/>
          <w:sz w:val="24"/>
          <w:szCs w:val="24"/>
          <w14:ligatures w14:val="none"/>
        </w:rPr>
        <w:t xml:space="preserve"> </w:t>
      </w:r>
      <w:proofErr w:type="spellStart"/>
      <w:r w:rsidRPr="00AE163E">
        <w:rPr>
          <w:rFonts w:ascii="Calibri" w:hAnsi="Calibri" w:cs="Calibri"/>
          <w:kern w:val="0"/>
          <w:sz w:val="24"/>
          <w:szCs w:val="24"/>
          <w14:ligatures w14:val="none"/>
        </w:rPr>
        <w:t>Paskevich</w:t>
      </w:r>
      <w:proofErr w:type="spellEnd"/>
      <w:r w:rsidRPr="00AE163E">
        <w:rPr>
          <w:rFonts w:ascii="Calibri" w:hAnsi="Calibri" w:cs="Calibri"/>
          <w:kern w:val="0"/>
          <w:sz w:val="24"/>
          <w:szCs w:val="24"/>
          <w14:ligatures w14:val="none"/>
        </w:rPr>
        <w:t xml:space="preserve">, </w:t>
      </w:r>
      <w:r w:rsidRPr="00831E06">
        <w:rPr>
          <w:rFonts w:ascii="Calibri" w:hAnsi="Calibri" w:cs="Calibri"/>
          <w:color w:val="C00000"/>
          <w:kern w:val="0"/>
          <w:sz w:val="24"/>
          <w:szCs w:val="24"/>
          <w14:ligatures w14:val="none"/>
        </w:rPr>
        <w:t>2014</w:t>
      </w:r>
      <w:r w:rsidRPr="00D44E2B">
        <w:rPr>
          <w:rFonts w:ascii="Calibri" w:hAnsi="Calibri" w:cs="Calibri"/>
          <w:kern w:val="0"/>
          <w:sz w:val="24"/>
          <w:szCs w:val="24"/>
          <w14:ligatures w14:val="none"/>
        </w:rPr>
        <w:t>).</w:t>
      </w:r>
    </w:p>
    <w:p w14:paraId="5945F969" w14:textId="3BEDF731" w:rsidR="0049583F" w:rsidRPr="00D44E2B" w:rsidRDefault="0049583F" w:rsidP="003D0615">
      <w:pPr>
        <w:suppressAutoHyphens/>
        <w:spacing w:line="240" w:lineRule="auto"/>
        <w:jc w:val="both"/>
        <w:rPr>
          <w:rFonts w:ascii="Calibri" w:hAnsi="Calibri" w:cs="Calibri"/>
          <w:i/>
          <w:iCs/>
          <w:kern w:val="0"/>
          <w:sz w:val="24"/>
          <w:szCs w:val="24"/>
          <w14:ligatures w14:val="none"/>
        </w:rPr>
      </w:pPr>
      <w:r w:rsidRPr="00D44E2B">
        <w:rPr>
          <w:rFonts w:ascii="Calibri" w:hAnsi="Calibri" w:cs="Calibri"/>
          <w:i/>
          <w:iCs/>
          <w:kern w:val="0"/>
          <w:sz w:val="24"/>
          <w:szCs w:val="24"/>
          <w14:ligatures w14:val="none"/>
        </w:rPr>
        <w:t>Tipo de cambio</w:t>
      </w:r>
    </w:p>
    <w:p w14:paraId="52280AB5" w14:textId="7552E2F3" w:rsidR="0049583F" w:rsidRDefault="00F8304F" w:rsidP="003D0615">
      <w:pPr>
        <w:suppressAutoHyphens/>
        <w:spacing w:after="0" w:line="240" w:lineRule="auto"/>
        <w:ind w:firstLine="709"/>
        <w:jc w:val="both"/>
        <w:rPr>
          <w:rFonts w:ascii="Calibri" w:hAnsi="Calibri" w:cs="Calibri"/>
          <w:kern w:val="0"/>
          <w:sz w:val="24"/>
          <w:szCs w:val="24"/>
          <w14:ligatures w14:val="none"/>
        </w:rPr>
      </w:pPr>
      <w:r w:rsidRPr="00F8304F">
        <w:rPr>
          <w:rFonts w:ascii="Calibri" w:hAnsi="Calibri" w:cs="Calibri"/>
          <w:kern w:val="0"/>
          <w:sz w:val="24"/>
          <w:szCs w:val="24"/>
          <w14:ligatures w14:val="none"/>
        </w:rPr>
        <w:t xml:space="preserve">El tipo de cambio es un factor clave en el flujo turístico, ya que una moneda nacional depreciada puede atraer más turistas internacionales al hacer el destino más accesible económicamente (Yang </w:t>
      </w:r>
      <w:r w:rsidRPr="00CC398B">
        <w:rPr>
          <w:rFonts w:ascii="Calibri" w:hAnsi="Calibri" w:cs="Calibri"/>
          <w:i/>
          <w:iCs/>
          <w:kern w:val="0"/>
          <w:sz w:val="24"/>
          <w:szCs w:val="24"/>
          <w14:ligatures w14:val="none"/>
        </w:rPr>
        <w:t>et al</w:t>
      </w:r>
      <w:r w:rsidRPr="00F8304F">
        <w:rPr>
          <w:rFonts w:ascii="Calibri" w:hAnsi="Calibri" w:cs="Calibri"/>
          <w:kern w:val="0"/>
          <w:sz w:val="24"/>
          <w:szCs w:val="24"/>
          <w14:ligatures w14:val="none"/>
        </w:rPr>
        <w:t xml:space="preserve">., </w:t>
      </w:r>
      <w:r w:rsidRPr="0095084C">
        <w:rPr>
          <w:rFonts w:ascii="Calibri" w:hAnsi="Calibri" w:cs="Calibri"/>
          <w:color w:val="C00000"/>
          <w:kern w:val="0"/>
          <w:sz w:val="24"/>
          <w:szCs w:val="24"/>
          <w14:ligatures w14:val="none"/>
        </w:rPr>
        <w:t>2010</w:t>
      </w:r>
      <w:r w:rsidRPr="00F8304F">
        <w:rPr>
          <w:rFonts w:ascii="Calibri" w:hAnsi="Calibri" w:cs="Calibri"/>
          <w:kern w:val="0"/>
          <w:sz w:val="24"/>
          <w:szCs w:val="24"/>
          <w14:ligatures w14:val="none"/>
        </w:rPr>
        <w:t>). Sin embargo, cuando el tipo de cambio se aprecia, disminuye el incentivo para que extranjeros visiten México y, a la vez, motiva a turistas nacionales a viajar al extranjero (</w:t>
      </w:r>
      <w:r w:rsidRPr="00C93500">
        <w:rPr>
          <w:rFonts w:ascii="Calibri" w:hAnsi="Calibri" w:cs="Calibri"/>
          <w:kern w:val="0"/>
          <w:sz w:val="24"/>
          <w:szCs w:val="24"/>
          <w14:ligatures w14:val="none"/>
        </w:rPr>
        <w:t xml:space="preserve">García </w:t>
      </w:r>
      <w:r w:rsidRPr="00C93500">
        <w:rPr>
          <w:rFonts w:ascii="Calibri" w:hAnsi="Calibri" w:cs="Calibri"/>
          <w:i/>
          <w:iCs/>
          <w:kern w:val="0"/>
          <w:sz w:val="24"/>
          <w:szCs w:val="24"/>
          <w14:ligatures w14:val="none"/>
        </w:rPr>
        <w:t>et al</w:t>
      </w:r>
      <w:r w:rsidRPr="00C93500">
        <w:rPr>
          <w:rFonts w:ascii="Calibri" w:hAnsi="Calibri" w:cs="Calibri"/>
          <w:kern w:val="0"/>
          <w:sz w:val="24"/>
          <w:szCs w:val="24"/>
          <w14:ligatures w14:val="none"/>
        </w:rPr>
        <w:t>.,</w:t>
      </w:r>
      <w:r w:rsidRPr="00E575A5">
        <w:rPr>
          <w:rFonts w:ascii="Calibri" w:hAnsi="Calibri" w:cs="Calibri"/>
          <w:color w:val="C00000"/>
          <w:kern w:val="0"/>
          <w:sz w:val="24"/>
          <w:szCs w:val="24"/>
          <w14:ligatures w14:val="none"/>
        </w:rPr>
        <w:t xml:space="preserve"> 2009</w:t>
      </w:r>
      <w:r w:rsidRPr="00F8304F">
        <w:rPr>
          <w:rFonts w:ascii="Calibri" w:hAnsi="Calibri" w:cs="Calibri"/>
          <w:kern w:val="0"/>
          <w:sz w:val="24"/>
          <w:szCs w:val="24"/>
          <w14:ligatures w14:val="none"/>
        </w:rPr>
        <w:t xml:space="preserve">; Velázquez </w:t>
      </w:r>
      <w:r w:rsidRPr="00CC398B">
        <w:rPr>
          <w:rFonts w:ascii="Calibri" w:hAnsi="Calibri" w:cs="Calibri"/>
          <w:i/>
          <w:iCs/>
          <w:kern w:val="0"/>
          <w:sz w:val="24"/>
          <w:szCs w:val="24"/>
          <w14:ligatures w14:val="none"/>
        </w:rPr>
        <w:t>et al</w:t>
      </w:r>
      <w:r w:rsidRPr="00F8304F">
        <w:rPr>
          <w:rFonts w:ascii="Calibri" w:hAnsi="Calibri" w:cs="Calibri"/>
          <w:kern w:val="0"/>
          <w:sz w:val="24"/>
          <w:szCs w:val="24"/>
          <w14:ligatures w14:val="none"/>
        </w:rPr>
        <w:t xml:space="preserve">., </w:t>
      </w:r>
      <w:r w:rsidRPr="006C51F0">
        <w:rPr>
          <w:rFonts w:ascii="Calibri" w:hAnsi="Calibri" w:cs="Calibri"/>
          <w:color w:val="C00000"/>
          <w:kern w:val="0"/>
          <w:sz w:val="24"/>
          <w:szCs w:val="24"/>
          <w14:ligatures w14:val="none"/>
        </w:rPr>
        <w:t>2022</w:t>
      </w:r>
      <w:r w:rsidRPr="00F8304F">
        <w:rPr>
          <w:rFonts w:ascii="Calibri" w:hAnsi="Calibri" w:cs="Calibri"/>
          <w:kern w:val="0"/>
          <w:sz w:val="24"/>
          <w:szCs w:val="24"/>
          <w14:ligatures w14:val="none"/>
        </w:rPr>
        <w:t xml:space="preserve">). Estudios como los </w:t>
      </w:r>
      <w:r w:rsidRPr="00C93500">
        <w:rPr>
          <w:rFonts w:ascii="Calibri" w:hAnsi="Calibri" w:cs="Calibri"/>
          <w:kern w:val="0"/>
          <w:sz w:val="24"/>
          <w:szCs w:val="24"/>
          <w14:ligatures w14:val="none"/>
        </w:rPr>
        <w:t xml:space="preserve">de </w:t>
      </w:r>
      <w:proofErr w:type="spellStart"/>
      <w:r w:rsidRPr="00C93500">
        <w:rPr>
          <w:rFonts w:ascii="Calibri" w:hAnsi="Calibri" w:cs="Calibri"/>
          <w:kern w:val="0"/>
          <w:sz w:val="24"/>
          <w:szCs w:val="24"/>
          <w14:ligatures w14:val="none"/>
        </w:rPr>
        <w:t>Culiuc</w:t>
      </w:r>
      <w:proofErr w:type="spellEnd"/>
      <w:r w:rsidRPr="00C93500">
        <w:rPr>
          <w:rFonts w:ascii="Calibri" w:hAnsi="Calibri" w:cs="Calibri"/>
          <w:kern w:val="0"/>
          <w:sz w:val="24"/>
          <w:szCs w:val="24"/>
          <w14:ligatures w14:val="none"/>
        </w:rPr>
        <w:t xml:space="preserve"> (</w:t>
      </w:r>
      <w:r w:rsidRPr="003B6C04">
        <w:rPr>
          <w:rFonts w:ascii="Calibri" w:hAnsi="Calibri" w:cs="Calibri"/>
          <w:color w:val="C00000"/>
          <w:kern w:val="0"/>
          <w:sz w:val="24"/>
          <w:szCs w:val="24"/>
          <w14:ligatures w14:val="none"/>
        </w:rPr>
        <w:t>2014</w:t>
      </w:r>
      <w:r w:rsidRPr="00C93500">
        <w:rPr>
          <w:rFonts w:ascii="Calibri" w:hAnsi="Calibri" w:cs="Calibri"/>
          <w:kern w:val="0"/>
          <w:sz w:val="24"/>
          <w:szCs w:val="24"/>
          <w14:ligatures w14:val="none"/>
        </w:rPr>
        <w:t>)</w:t>
      </w:r>
      <w:r w:rsidRPr="003B6C04">
        <w:rPr>
          <w:rFonts w:ascii="Calibri" w:hAnsi="Calibri" w:cs="Calibri"/>
          <w:color w:val="C00000"/>
          <w:kern w:val="0"/>
          <w:sz w:val="24"/>
          <w:szCs w:val="24"/>
          <w14:ligatures w14:val="none"/>
        </w:rPr>
        <w:t xml:space="preserve"> </w:t>
      </w:r>
      <w:r w:rsidRPr="00F8304F">
        <w:rPr>
          <w:rFonts w:ascii="Calibri" w:hAnsi="Calibri" w:cs="Calibri"/>
          <w:kern w:val="0"/>
          <w:sz w:val="24"/>
          <w:szCs w:val="24"/>
          <w14:ligatures w14:val="none"/>
        </w:rPr>
        <w:t xml:space="preserve">y </w:t>
      </w:r>
      <w:proofErr w:type="spellStart"/>
      <w:r w:rsidRPr="00F8304F">
        <w:rPr>
          <w:rFonts w:ascii="Calibri" w:hAnsi="Calibri" w:cs="Calibri"/>
          <w:kern w:val="0"/>
          <w:sz w:val="24"/>
          <w:szCs w:val="24"/>
          <w14:ligatures w14:val="none"/>
        </w:rPr>
        <w:t>Hanafiah</w:t>
      </w:r>
      <w:proofErr w:type="spellEnd"/>
      <w:r w:rsidRPr="00F8304F">
        <w:rPr>
          <w:rFonts w:ascii="Calibri" w:hAnsi="Calibri" w:cs="Calibri"/>
          <w:kern w:val="0"/>
          <w:sz w:val="24"/>
          <w:szCs w:val="24"/>
          <w14:ligatures w14:val="none"/>
        </w:rPr>
        <w:t xml:space="preserve"> y </w:t>
      </w:r>
      <w:proofErr w:type="spellStart"/>
      <w:r w:rsidRPr="00F8304F">
        <w:rPr>
          <w:rFonts w:ascii="Calibri" w:hAnsi="Calibri" w:cs="Calibri"/>
          <w:kern w:val="0"/>
          <w:sz w:val="24"/>
          <w:szCs w:val="24"/>
          <w14:ligatures w14:val="none"/>
        </w:rPr>
        <w:t>Harun</w:t>
      </w:r>
      <w:proofErr w:type="spellEnd"/>
      <w:r w:rsidRPr="00F8304F">
        <w:rPr>
          <w:rFonts w:ascii="Calibri" w:hAnsi="Calibri" w:cs="Calibri"/>
          <w:kern w:val="0"/>
          <w:sz w:val="24"/>
          <w:szCs w:val="24"/>
          <w14:ligatures w14:val="none"/>
        </w:rPr>
        <w:t xml:space="preserve"> (</w:t>
      </w:r>
      <w:r w:rsidRPr="00C93500">
        <w:rPr>
          <w:rFonts w:ascii="Calibri" w:hAnsi="Calibri" w:cs="Calibri"/>
          <w:color w:val="C00000"/>
          <w:kern w:val="0"/>
          <w:sz w:val="24"/>
          <w:szCs w:val="24"/>
          <w14:ligatures w14:val="none"/>
        </w:rPr>
        <w:t>2010</w:t>
      </w:r>
      <w:r w:rsidRPr="00F8304F">
        <w:rPr>
          <w:rFonts w:ascii="Calibri" w:hAnsi="Calibri" w:cs="Calibri"/>
          <w:kern w:val="0"/>
          <w:sz w:val="24"/>
          <w:szCs w:val="24"/>
          <w14:ligatures w14:val="none"/>
        </w:rPr>
        <w:t>) confirman que el tipo de cambio real influye significativamente y de manera negativa en el turismo hacia el país de destino.</w:t>
      </w:r>
    </w:p>
    <w:p w14:paraId="3B2CFD81" w14:textId="77777777" w:rsidR="00F8304F" w:rsidRPr="00D44E2B" w:rsidRDefault="00F8304F" w:rsidP="003D0615">
      <w:pPr>
        <w:suppressAutoHyphens/>
        <w:spacing w:after="0" w:line="240" w:lineRule="auto"/>
        <w:ind w:firstLine="709"/>
        <w:jc w:val="both"/>
        <w:rPr>
          <w:rFonts w:ascii="Calibri" w:hAnsi="Calibri" w:cs="Calibri"/>
          <w:kern w:val="0"/>
          <w:sz w:val="24"/>
          <w:szCs w:val="24"/>
          <w14:ligatures w14:val="none"/>
        </w:rPr>
      </w:pPr>
    </w:p>
    <w:p w14:paraId="60D38006" w14:textId="77777777" w:rsidR="00F8304F" w:rsidRPr="00F8304F" w:rsidRDefault="00F8304F" w:rsidP="003D0615">
      <w:pPr>
        <w:suppressAutoHyphens/>
        <w:spacing w:line="240" w:lineRule="auto"/>
        <w:jc w:val="both"/>
        <w:rPr>
          <w:rFonts w:ascii="Calibri" w:hAnsi="Calibri" w:cs="Calibri"/>
          <w:i/>
          <w:iCs/>
          <w:kern w:val="0"/>
          <w:sz w:val="24"/>
          <w:szCs w:val="24"/>
          <w14:ligatures w14:val="none"/>
        </w:rPr>
      </w:pPr>
      <w:r w:rsidRPr="00F8304F">
        <w:rPr>
          <w:rFonts w:ascii="Calibri" w:hAnsi="Calibri" w:cs="Calibri"/>
          <w:i/>
          <w:iCs/>
          <w:kern w:val="0"/>
          <w:sz w:val="24"/>
          <w:szCs w:val="24"/>
          <w14:ligatures w14:val="none"/>
        </w:rPr>
        <w:t>Producto Interno Bruto</w:t>
      </w:r>
    </w:p>
    <w:p w14:paraId="7540825F" w14:textId="1EFED4D2" w:rsidR="0063691F" w:rsidRDefault="0063691F" w:rsidP="003D0615">
      <w:pPr>
        <w:suppressAutoHyphens/>
        <w:spacing w:line="240" w:lineRule="auto"/>
        <w:ind w:firstLine="709"/>
        <w:jc w:val="both"/>
        <w:rPr>
          <w:rFonts w:ascii="Calibri" w:hAnsi="Calibri" w:cs="Calibri"/>
          <w:kern w:val="0"/>
          <w:sz w:val="24"/>
          <w:szCs w:val="24"/>
          <w14:ligatures w14:val="none"/>
        </w:rPr>
      </w:pPr>
      <w:r w:rsidRPr="0063691F">
        <w:rPr>
          <w:rFonts w:ascii="Calibri" w:hAnsi="Calibri" w:cs="Calibri"/>
          <w:kern w:val="0"/>
          <w:sz w:val="24"/>
          <w:szCs w:val="24"/>
          <w14:ligatures w14:val="none"/>
        </w:rPr>
        <w:t xml:space="preserve">El turismo genera beneficios económicos y desarrollo local (Webster &amp; Ivanov, </w:t>
      </w:r>
      <w:r w:rsidRPr="00714C79">
        <w:rPr>
          <w:rFonts w:ascii="Calibri" w:hAnsi="Calibri" w:cs="Calibri"/>
          <w:color w:val="C00000"/>
          <w:kern w:val="0"/>
          <w:sz w:val="24"/>
          <w:szCs w:val="24"/>
          <w14:ligatures w14:val="none"/>
        </w:rPr>
        <w:t>2014</w:t>
      </w:r>
      <w:r w:rsidRPr="0063691F">
        <w:rPr>
          <w:rFonts w:ascii="Calibri" w:hAnsi="Calibri" w:cs="Calibri"/>
          <w:kern w:val="0"/>
          <w:sz w:val="24"/>
          <w:szCs w:val="24"/>
          <w14:ligatures w14:val="none"/>
        </w:rPr>
        <w:t>), con múltiples estudios que confirman su impacto positivo (</w:t>
      </w:r>
      <w:r w:rsidRPr="00C93500">
        <w:rPr>
          <w:rFonts w:ascii="Calibri" w:hAnsi="Calibri" w:cs="Calibri"/>
          <w:kern w:val="0"/>
          <w:sz w:val="24"/>
          <w:szCs w:val="24"/>
          <w14:ligatures w14:val="none"/>
        </w:rPr>
        <w:t xml:space="preserve">Brida </w:t>
      </w:r>
      <w:r w:rsidRPr="00C93500">
        <w:rPr>
          <w:rFonts w:ascii="Calibri" w:hAnsi="Calibri" w:cs="Calibri"/>
          <w:i/>
          <w:iCs/>
          <w:kern w:val="0"/>
          <w:sz w:val="24"/>
          <w:szCs w:val="24"/>
          <w14:ligatures w14:val="none"/>
        </w:rPr>
        <w:t>et al</w:t>
      </w:r>
      <w:r w:rsidRPr="00C93500">
        <w:rPr>
          <w:rFonts w:ascii="Calibri" w:hAnsi="Calibri" w:cs="Calibri"/>
          <w:kern w:val="0"/>
          <w:sz w:val="24"/>
          <w:szCs w:val="24"/>
          <w14:ligatures w14:val="none"/>
        </w:rPr>
        <w:t xml:space="preserve">., </w:t>
      </w:r>
      <w:r w:rsidRPr="00B84EDE">
        <w:rPr>
          <w:rFonts w:ascii="Calibri" w:hAnsi="Calibri" w:cs="Calibri"/>
          <w:color w:val="C00000"/>
          <w:kern w:val="0"/>
          <w:sz w:val="24"/>
          <w:szCs w:val="24"/>
          <w14:ligatures w14:val="none"/>
        </w:rPr>
        <w:t>2021</w:t>
      </w:r>
      <w:r w:rsidRPr="0063691F">
        <w:rPr>
          <w:rFonts w:ascii="Calibri" w:hAnsi="Calibri" w:cs="Calibri"/>
          <w:kern w:val="0"/>
          <w:sz w:val="24"/>
          <w:szCs w:val="24"/>
          <w14:ligatures w14:val="none"/>
        </w:rPr>
        <w:t xml:space="preserve">; </w:t>
      </w:r>
      <w:r w:rsidRPr="00C93500">
        <w:rPr>
          <w:rFonts w:ascii="Calibri" w:hAnsi="Calibri" w:cs="Calibri"/>
          <w:kern w:val="0"/>
          <w:sz w:val="24"/>
          <w:szCs w:val="24"/>
          <w14:ligatures w14:val="none"/>
        </w:rPr>
        <w:t xml:space="preserve">Brida </w:t>
      </w:r>
      <w:r w:rsidRPr="00C93500">
        <w:rPr>
          <w:rFonts w:ascii="Calibri" w:hAnsi="Calibri" w:cs="Calibri"/>
          <w:i/>
          <w:iCs/>
          <w:kern w:val="0"/>
          <w:sz w:val="24"/>
          <w:szCs w:val="24"/>
          <w14:ligatures w14:val="none"/>
        </w:rPr>
        <w:t>et al</w:t>
      </w:r>
      <w:r w:rsidRPr="00C93500">
        <w:rPr>
          <w:rFonts w:ascii="Calibri" w:hAnsi="Calibri" w:cs="Calibri"/>
          <w:kern w:val="0"/>
          <w:sz w:val="24"/>
          <w:szCs w:val="24"/>
          <w14:ligatures w14:val="none"/>
        </w:rPr>
        <w:t xml:space="preserve">., </w:t>
      </w:r>
      <w:r w:rsidRPr="00B84EDE">
        <w:rPr>
          <w:rFonts w:ascii="Calibri" w:hAnsi="Calibri" w:cs="Calibri"/>
          <w:color w:val="C00000"/>
          <w:kern w:val="0"/>
          <w:sz w:val="24"/>
          <w:szCs w:val="24"/>
          <w14:ligatures w14:val="none"/>
        </w:rPr>
        <w:t xml:space="preserve">2011; </w:t>
      </w:r>
      <w:r w:rsidRPr="00C93500">
        <w:rPr>
          <w:rFonts w:ascii="Calibri" w:hAnsi="Calibri" w:cs="Calibri"/>
          <w:kern w:val="0"/>
          <w:sz w:val="24"/>
          <w:szCs w:val="24"/>
          <w14:ligatures w14:val="none"/>
        </w:rPr>
        <w:t xml:space="preserve">Brida </w:t>
      </w:r>
      <w:r w:rsidRPr="00C93500">
        <w:rPr>
          <w:rFonts w:ascii="Calibri" w:hAnsi="Calibri" w:cs="Calibri"/>
          <w:i/>
          <w:iCs/>
          <w:kern w:val="0"/>
          <w:sz w:val="24"/>
          <w:szCs w:val="24"/>
          <w14:ligatures w14:val="none"/>
        </w:rPr>
        <w:t>et al</w:t>
      </w:r>
      <w:r w:rsidRPr="00C93500">
        <w:rPr>
          <w:rFonts w:ascii="Calibri" w:hAnsi="Calibri" w:cs="Calibri"/>
          <w:kern w:val="0"/>
          <w:sz w:val="24"/>
          <w:szCs w:val="24"/>
          <w14:ligatures w14:val="none"/>
        </w:rPr>
        <w:t xml:space="preserve">., </w:t>
      </w:r>
      <w:r w:rsidRPr="00B84EDE">
        <w:rPr>
          <w:rFonts w:ascii="Calibri" w:hAnsi="Calibri" w:cs="Calibri"/>
          <w:color w:val="C00000"/>
          <w:kern w:val="0"/>
          <w:sz w:val="24"/>
          <w:szCs w:val="24"/>
          <w14:ligatures w14:val="none"/>
        </w:rPr>
        <w:t>2008</w:t>
      </w:r>
      <w:r w:rsidRPr="0063691F">
        <w:rPr>
          <w:rFonts w:ascii="Calibri" w:hAnsi="Calibri" w:cs="Calibri"/>
          <w:kern w:val="0"/>
          <w:sz w:val="24"/>
          <w:szCs w:val="24"/>
          <w14:ligatures w14:val="none"/>
        </w:rPr>
        <w:t xml:space="preserve">; Nava </w:t>
      </w:r>
      <w:r w:rsidRPr="00553041">
        <w:rPr>
          <w:rFonts w:ascii="Calibri" w:hAnsi="Calibri" w:cs="Calibri"/>
          <w:i/>
          <w:iCs/>
          <w:kern w:val="0"/>
          <w:sz w:val="24"/>
          <w:szCs w:val="24"/>
          <w14:ligatures w14:val="none"/>
        </w:rPr>
        <w:t>et al</w:t>
      </w:r>
      <w:r w:rsidRPr="0063691F">
        <w:rPr>
          <w:rFonts w:ascii="Calibri" w:hAnsi="Calibri" w:cs="Calibri"/>
          <w:kern w:val="0"/>
          <w:sz w:val="24"/>
          <w:szCs w:val="24"/>
          <w14:ligatures w14:val="none"/>
        </w:rPr>
        <w:t xml:space="preserve">., </w:t>
      </w:r>
      <w:r w:rsidRPr="00B54313">
        <w:rPr>
          <w:rFonts w:ascii="Calibri" w:hAnsi="Calibri" w:cs="Calibri"/>
          <w:color w:val="C00000"/>
          <w:kern w:val="0"/>
          <w:sz w:val="24"/>
          <w:szCs w:val="24"/>
          <w14:ligatures w14:val="none"/>
        </w:rPr>
        <w:t>2017</w:t>
      </w:r>
      <w:r w:rsidRPr="0063691F">
        <w:rPr>
          <w:rFonts w:ascii="Calibri" w:hAnsi="Calibri" w:cs="Calibri"/>
          <w:kern w:val="0"/>
          <w:sz w:val="24"/>
          <w:szCs w:val="24"/>
          <w14:ligatures w14:val="none"/>
        </w:rPr>
        <w:t xml:space="preserve">; </w:t>
      </w:r>
      <w:proofErr w:type="spellStart"/>
      <w:r w:rsidRPr="0063691F">
        <w:rPr>
          <w:rFonts w:ascii="Calibri" w:hAnsi="Calibri" w:cs="Calibri"/>
          <w:kern w:val="0"/>
          <w:sz w:val="24"/>
          <w:szCs w:val="24"/>
          <w14:ligatures w14:val="none"/>
        </w:rPr>
        <w:t>Zurub</w:t>
      </w:r>
      <w:proofErr w:type="spellEnd"/>
      <w:r w:rsidRPr="0063691F">
        <w:rPr>
          <w:rFonts w:ascii="Calibri" w:hAnsi="Calibri" w:cs="Calibri"/>
          <w:kern w:val="0"/>
          <w:sz w:val="24"/>
          <w:szCs w:val="24"/>
          <w14:ligatures w14:val="none"/>
        </w:rPr>
        <w:t xml:space="preserve"> </w:t>
      </w:r>
      <w:r w:rsidRPr="00553041">
        <w:rPr>
          <w:rFonts w:ascii="Calibri" w:hAnsi="Calibri" w:cs="Calibri"/>
          <w:i/>
          <w:iCs/>
          <w:kern w:val="0"/>
          <w:sz w:val="24"/>
          <w:szCs w:val="24"/>
          <w14:ligatures w14:val="none"/>
        </w:rPr>
        <w:t>et al</w:t>
      </w:r>
      <w:r w:rsidRPr="0063691F">
        <w:rPr>
          <w:rFonts w:ascii="Calibri" w:hAnsi="Calibri" w:cs="Calibri"/>
          <w:kern w:val="0"/>
          <w:sz w:val="24"/>
          <w:szCs w:val="24"/>
          <w14:ligatures w14:val="none"/>
        </w:rPr>
        <w:t xml:space="preserve">., </w:t>
      </w:r>
      <w:r w:rsidRPr="009A78FE">
        <w:rPr>
          <w:rFonts w:ascii="Calibri" w:hAnsi="Calibri" w:cs="Calibri"/>
          <w:color w:val="C00000"/>
          <w:kern w:val="0"/>
          <w:sz w:val="24"/>
          <w:szCs w:val="24"/>
          <w14:ligatures w14:val="none"/>
        </w:rPr>
        <w:t>2015</w:t>
      </w:r>
      <w:r w:rsidRPr="0063691F">
        <w:rPr>
          <w:rFonts w:ascii="Calibri" w:hAnsi="Calibri" w:cs="Calibri"/>
          <w:kern w:val="0"/>
          <w:sz w:val="24"/>
          <w:szCs w:val="24"/>
          <w14:ligatures w14:val="none"/>
        </w:rPr>
        <w:t xml:space="preserve">). En México, el sector aportó el 7.5% del PIB en 2021 y generó millones de empleos (INEGI, </w:t>
      </w:r>
      <w:r w:rsidRPr="0047573F">
        <w:rPr>
          <w:rFonts w:ascii="Calibri" w:hAnsi="Calibri" w:cs="Calibri"/>
          <w:color w:val="C00000"/>
          <w:kern w:val="0"/>
          <w:sz w:val="24"/>
          <w:szCs w:val="24"/>
          <w14:ligatures w14:val="none"/>
        </w:rPr>
        <w:t>2021</w:t>
      </w:r>
      <w:r w:rsidRPr="0063691F">
        <w:rPr>
          <w:rFonts w:ascii="Calibri" w:hAnsi="Calibri" w:cs="Calibri"/>
          <w:kern w:val="0"/>
          <w:sz w:val="24"/>
          <w:szCs w:val="24"/>
          <w14:ligatures w14:val="none"/>
        </w:rPr>
        <w:t>). La OMT ha promovido estadísticas comparables (</w:t>
      </w:r>
      <w:r w:rsidRPr="00C93500">
        <w:rPr>
          <w:rFonts w:ascii="Calibri" w:hAnsi="Calibri" w:cs="Calibri"/>
          <w:kern w:val="0"/>
          <w:sz w:val="24"/>
          <w:szCs w:val="24"/>
          <w14:ligatures w14:val="none"/>
        </w:rPr>
        <w:t xml:space="preserve">Gómez y Rodríguez, </w:t>
      </w:r>
      <w:r w:rsidRPr="00F511EF">
        <w:rPr>
          <w:rFonts w:ascii="Calibri" w:hAnsi="Calibri" w:cs="Calibri"/>
          <w:color w:val="C00000"/>
          <w:kern w:val="0"/>
          <w:sz w:val="24"/>
          <w:szCs w:val="24"/>
          <w14:ligatures w14:val="none"/>
        </w:rPr>
        <w:t>2018</w:t>
      </w:r>
      <w:r w:rsidRPr="0063691F">
        <w:rPr>
          <w:rFonts w:ascii="Calibri" w:hAnsi="Calibri" w:cs="Calibri"/>
          <w:kern w:val="0"/>
          <w:sz w:val="24"/>
          <w:szCs w:val="24"/>
          <w14:ligatures w14:val="none"/>
        </w:rPr>
        <w:t>), aunque los estudios sobre flujo turístico en México siguen siendo limitados y macroeconómicos.</w:t>
      </w:r>
    </w:p>
    <w:p w14:paraId="22E558FD" w14:textId="178570AE" w:rsidR="00F8304F" w:rsidRPr="00F8304F" w:rsidRDefault="00F8304F" w:rsidP="003D0615">
      <w:pPr>
        <w:suppressAutoHyphens/>
        <w:spacing w:line="240" w:lineRule="auto"/>
        <w:jc w:val="both"/>
        <w:rPr>
          <w:rFonts w:ascii="Calibri" w:hAnsi="Calibri" w:cs="Calibri"/>
          <w:i/>
          <w:iCs/>
          <w:kern w:val="0"/>
          <w:sz w:val="24"/>
          <w:szCs w:val="24"/>
          <w14:ligatures w14:val="none"/>
        </w:rPr>
      </w:pPr>
      <w:r w:rsidRPr="00F8304F">
        <w:rPr>
          <w:rFonts w:ascii="Calibri" w:hAnsi="Calibri" w:cs="Calibri"/>
          <w:i/>
          <w:iCs/>
          <w:kern w:val="0"/>
          <w:sz w:val="24"/>
          <w:szCs w:val="24"/>
          <w14:ligatures w14:val="none"/>
        </w:rPr>
        <w:t>Riesgo País</w:t>
      </w:r>
    </w:p>
    <w:p w14:paraId="7CF6AD6B" w14:textId="77777777" w:rsidR="00F8304F" w:rsidRPr="00F8304F" w:rsidRDefault="00F8304F" w:rsidP="003D0615">
      <w:pPr>
        <w:suppressAutoHyphens/>
        <w:spacing w:line="240" w:lineRule="auto"/>
        <w:ind w:firstLine="709"/>
        <w:jc w:val="both"/>
        <w:rPr>
          <w:rFonts w:ascii="Calibri" w:hAnsi="Calibri" w:cs="Calibri"/>
          <w:kern w:val="0"/>
          <w:sz w:val="24"/>
          <w:szCs w:val="24"/>
          <w14:ligatures w14:val="none"/>
        </w:rPr>
      </w:pPr>
      <w:r w:rsidRPr="00F8304F">
        <w:rPr>
          <w:rFonts w:ascii="Calibri" w:hAnsi="Calibri" w:cs="Calibri"/>
          <w:kern w:val="0"/>
          <w:sz w:val="24"/>
          <w:szCs w:val="24"/>
          <w14:ligatures w14:val="none"/>
        </w:rPr>
        <w:t>El flujo turístico también puede verse afectado por factores negativos como el ingreso per cápita, el idioma, crisis económicas, distancia y desastres naturales, especialmente en países menos desarrollados (</w:t>
      </w:r>
      <w:proofErr w:type="spellStart"/>
      <w:r w:rsidRPr="00C93500">
        <w:rPr>
          <w:rFonts w:ascii="Calibri" w:hAnsi="Calibri" w:cs="Calibri"/>
          <w:kern w:val="0"/>
          <w:sz w:val="24"/>
          <w:szCs w:val="24"/>
          <w14:ligatures w14:val="none"/>
        </w:rPr>
        <w:t>Fernand</w:t>
      </w:r>
      <w:proofErr w:type="spellEnd"/>
      <w:r w:rsidRPr="00C93500">
        <w:rPr>
          <w:rFonts w:ascii="Calibri" w:hAnsi="Calibri" w:cs="Calibri"/>
          <w:kern w:val="0"/>
          <w:sz w:val="24"/>
          <w:szCs w:val="24"/>
          <w14:ligatures w14:val="none"/>
        </w:rPr>
        <w:t xml:space="preserve"> y </w:t>
      </w:r>
      <w:proofErr w:type="spellStart"/>
      <w:r w:rsidRPr="00C93500">
        <w:rPr>
          <w:rFonts w:ascii="Calibri" w:hAnsi="Calibri" w:cs="Calibri"/>
          <w:kern w:val="0"/>
          <w:sz w:val="24"/>
          <w:szCs w:val="24"/>
          <w14:ligatures w14:val="none"/>
        </w:rPr>
        <w:t>Pastás</w:t>
      </w:r>
      <w:proofErr w:type="spellEnd"/>
      <w:r w:rsidRPr="00C93500">
        <w:rPr>
          <w:rFonts w:ascii="Calibri" w:hAnsi="Calibri" w:cs="Calibri"/>
          <w:kern w:val="0"/>
          <w:sz w:val="24"/>
          <w:szCs w:val="24"/>
          <w14:ligatures w14:val="none"/>
        </w:rPr>
        <w:t xml:space="preserve">, </w:t>
      </w:r>
      <w:r w:rsidRPr="00D73A9B">
        <w:rPr>
          <w:rFonts w:ascii="Calibri" w:hAnsi="Calibri" w:cs="Calibri"/>
          <w:color w:val="C00000"/>
          <w:kern w:val="0"/>
          <w:sz w:val="24"/>
          <w:szCs w:val="24"/>
          <w14:ligatures w14:val="none"/>
        </w:rPr>
        <w:t>2019</w:t>
      </w:r>
      <w:r w:rsidRPr="00F8304F">
        <w:rPr>
          <w:rFonts w:ascii="Calibri" w:hAnsi="Calibri" w:cs="Calibri"/>
          <w:kern w:val="0"/>
          <w:sz w:val="24"/>
          <w:szCs w:val="24"/>
          <w14:ligatures w14:val="none"/>
        </w:rPr>
        <w:t>). El riesgo país es un indicador relevante, ya que situaciones de inestabilidad política, económica o social pueden desalentar la llegada de turistas internacionales. No obstante, en algunos análisis recientes, la variable de riesgo país no ha resultado estadísticamente significativa para explicar el flujo turístico en ciertos destinos, lo que podría deberse a la estabilidad relativa de México en el periodo analizado o a la limitada cantidad de observaciones disponibles.</w:t>
      </w:r>
    </w:p>
    <w:p w14:paraId="6EDD75F5" w14:textId="60C83DC6" w:rsidR="0049583F" w:rsidRPr="00D44E2B" w:rsidRDefault="0049583F" w:rsidP="003D0615">
      <w:pPr>
        <w:suppressAutoHyphens/>
        <w:spacing w:line="240" w:lineRule="auto"/>
        <w:jc w:val="both"/>
        <w:rPr>
          <w:rFonts w:ascii="Calibri" w:hAnsi="Calibri" w:cs="Calibri"/>
          <w:i/>
          <w:iCs/>
          <w:kern w:val="0"/>
          <w:sz w:val="24"/>
          <w:szCs w:val="24"/>
          <w14:ligatures w14:val="none"/>
        </w:rPr>
      </w:pPr>
      <w:r w:rsidRPr="00D44E2B">
        <w:rPr>
          <w:rFonts w:ascii="Calibri" w:hAnsi="Calibri" w:cs="Calibri"/>
          <w:i/>
          <w:iCs/>
          <w:kern w:val="0"/>
          <w:sz w:val="24"/>
          <w:szCs w:val="24"/>
          <w14:ligatures w14:val="none"/>
        </w:rPr>
        <w:t>Salud y estabilidad política</w:t>
      </w:r>
    </w:p>
    <w:p w14:paraId="41031EF5" w14:textId="187DE615" w:rsidR="0049583F" w:rsidRPr="00D44E2B" w:rsidRDefault="0049583F" w:rsidP="003D0615">
      <w:pPr>
        <w:suppressAutoHyphens/>
        <w:spacing w:line="240" w:lineRule="auto"/>
        <w:ind w:firstLine="709"/>
        <w:jc w:val="both"/>
        <w:rPr>
          <w:rFonts w:ascii="Calibri" w:hAnsi="Calibri" w:cs="Calibri"/>
          <w:kern w:val="0"/>
          <w:sz w:val="24"/>
          <w:szCs w:val="24"/>
          <w14:ligatures w14:val="none"/>
        </w:rPr>
      </w:pPr>
      <w:r w:rsidRPr="00D44E2B">
        <w:rPr>
          <w:rFonts w:ascii="Calibri" w:hAnsi="Calibri" w:cs="Calibri"/>
          <w:kern w:val="0"/>
          <w:sz w:val="24"/>
          <w:szCs w:val="24"/>
          <w14:ligatures w14:val="none"/>
        </w:rPr>
        <w:t xml:space="preserve">Con base en Su </w:t>
      </w:r>
      <w:r w:rsidR="00B252FE">
        <w:rPr>
          <w:rFonts w:ascii="Calibri" w:hAnsi="Calibri" w:cs="Calibri"/>
          <w:kern w:val="0"/>
          <w:sz w:val="24"/>
          <w:szCs w:val="24"/>
          <w14:ligatures w14:val="none"/>
        </w:rPr>
        <w:t>&amp;</w:t>
      </w:r>
      <w:r w:rsidRPr="00D44E2B">
        <w:rPr>
          <w:rFonts w:ascii="Calibri" w:hAnsi="Calibri" w:cs="Calibri"/>
          <w:kern w:val="0"/>
          <w:sz w:val="24"/>
          <w:szCs w:val="24"/>
          <w14:ligatures w14:val="none"/>
        </w:rPr>
        <w:t xml:space="preserve"> Lin (</w:t>
      </w:r>
      <w:r w:rsidRPr="001E7EB3">
        <w:rPr>
          <w:rFonts w:ascii="Calibri" w:hAnsi="Calibri" w:cs="Calibri"/>
          <w:color w:val="C00000"/>
          <w:kern w:val="0"/>
          <w:sz w:val="24"/>
          <w:szCs w:val="24"/>
          <w14:ligatures w14:val="none"/>
        </w:rPr>
        <w:t>2014</w:t>
      </w:r>
      <w:r w:rsidRPr="00D44E2B">
        <w:rPr>
          <w:rFonts w:ascii="Calibri" w:hAnsi="Calibri" w:cs="Calibri"/>
          <w:kern w:val="0"/>
          <w:sz w:val="24"/>
          <w:szCs w:val="24"/>
          <w14:ligatures w14:val="none"/>
        </w:rPr>
        <w:t xml:space="preserve">) las variables de libertad y salud son significativas en el flujo turístico de un destino. Los países que más invierten en salud (alrededor del 1% del PIB), y los países más libres (estabilidad política, principalmente) son más visitados. </w:t>
      </w:r>
    </w:p>
    <w:p w14:paraId="2FC766A9" w14:textId="6AC1E848" w:rsidR="0049583F" w:rsidRPr="00D44E2B" w:rsidRDefault="001E0AB2" w:rsidP="003D0615">
      <w:pPr>
        <w:suppressAutoHyphens/>
        <w:spacing w:line="240" w:lineRule="auto"/>
        <w:ind w:firstLine="709"/>
        <w:jc w:val="both"/>
        <w:rPr>
          <w:rFonts w:ascii="Calibri" w:hAnsi="Calibri" w:cs="Calibri"/>
          <w:kern w:val="0"/>
          <w:sz w:val="24"/>
          <w:szCs w:val="24"/>
          <w14:ligatures w14:val="none"/>
        </w:rPr>
      </w:pPr>
      <w:r>
        <w:rPr>
          <w:rFonts w:ascii="Calibri" w:hAnsi="Calibri" w:cs="Calibri"/>
          <w:kern w:val="0"/>
          <w:sz w:val="24"/>
          <w:szCs w:val="24"/>
          <w14:ligatures w14:val="none"/>
        </w:rPr>
        <w:t xml:space="preserve">Así mismo, </w:t>
      </w:r>
      <w:proofErr w:type="spellStart"/>
      <w:r w:rsidR="0049583F" w:rsidRPr="00D44E2B">
        <w:rPr>
          <w:rFonts w:ascii="Calibri" w:hAnsi="Calibri" w:cs="Calibri"/>
          <w:kern w:val="0"/>
          <w:sz w:val="24"/>
          <w:szCs w:val="24"/>
          <w14:ligatures w14:val="none"/>
        </w:rPr>
        <w:t>Naudé</w:t>
      </w:r>
      <w:proofErr w:type="spellEnd"/>
      <w:r w:rsidR="0049583F" w:rsidRPr="00D44E2B">
        <w:rPr>
          <w:rFonts w:ascii="Calibri" w:hAnsi="Calibri" w:cs="Calibri"/>
          <w:kern w:val="0"/>
          <w:sz w:val="24"/>
          <w:szCs w:val="24"/>
          <w14:ligatures w14:val="none"/>
        </w:rPr>
        <w:t xml:space="preserve"> y </w:t>
      </w:r>
      <w:proofErr w:type="spellStart"/>
      <w:r w:rsidR="0049583F" w:rsidRPr="00D44E2B">
        <w:rPr>
          <w:rFonts w:ascii="Calibri" w:hAnsi="Calibri" w:cs="Calibri"/>
          <w:kern w:val="0"/>
          <w:sz w:val="24"/>
          <w:szCs w:val="24"/>
          <w14:ligatures w14:val="none"/>
        </w:rPr>
        <w:t>Saayman</w:t>
      </w:r>
      <w:proofErr w:type="spellEnd"/>
      <w:r w:rsidR="0049583F" w:rsidRPr="00D44E2B">
        <w:rPr>
          <w:rFonts w:ascii="Calibri" w:hAnsi="Calibri" w:cs="Calibri"/>
          <w:kern w:val="0"/>
          <w:sz w:val="24"/>
          <w:szCs w:val="24"/>
          <w14:ligatures w14:val="none"/>
        </w:rPr>
        <w:t xml:space="preserve"> (</w:t>
      </w:r>
      <w:r w:rsidR="0049583F" w:rsidRPr="00B54313">
        <w:rPr>
          <w:rFonts w:ascii="Calibri" w:hAnsi="Calibri" w:cs="Calibri"/>
          <w:color w:val="C00000"/>
          <w:kern w:val="0"/>
          <w:sz w:val="24"/>
          <w:szCs w:val="24"/>
          <w14:ligatures w14:val="none"/>
        </w:rPr>
        <w:t>2005</w:t>
      </w:r>
      <w:r w:rsidR="0049583F" w:rsidRPr="00D44E2B">
        <w:rPr>
          <w:rFonts w:ascii="Calibri" w:hAnsi="Calibri" w:cs="Calibri"/>
          <w:kern w:val="0"/>
          <w:sz w:val="24"/>
          <w:szCs w:val="24"/>
          <w14:ligatures w14:val="none"/>
        </w:rPr>
        <w:t xml:space="preserve">) plantean que dentro de las variables más significativas para la demanda turística </w:t>
      </w:r>
      <w:r>
        <w:rPr>
          <w:rFonts w:ascii="Calibri" w:hAnsi="Calibri" w:cs="Calibri"/>
          <w:kern w:val="0"/>
          <w:sz w:val="24"/>
          <w:szCs w:val="24"/>
          <w14:ligatures w14:val="none"/>
        </w:rPr>
        <w:t>se encuentran</w:t>
      </w:r>
      <w:r w:rsidR="0049583F" w:rsidRPr="00D44E2B">
        <w:rPr>
          <w:rFonts w:ascii="Calibri" w:hAnsi="Calibri" w:cs="Calibri"/>
          <w:kern w:val="0"/>
          <w:sz w:val="24"/>
          <w:szCs w:val="24"/>
          <w14:ligatures w14:val="none"/>
        </w:rPr>
        <w:t xml:space="preserve"> la estabilidad política del país destino, el riesgo por salud (</w:t>
      </w:r>
      <w:proofErr w:type="spellStart"/>
      <w:r w:rsidR="0049583F" w:rsidRPr="00D44E2B">
        <w:rPr>
          <w:rFonts w:ascii="Calibri" w:hAnsi="Calibri" w:cs="Calibri"/>
          <w:kern w:val="0"/>
          <w:sz w:val="24"/>
          <w:szCs w:val="24"/>
          <w14:ligatures w14:val="none"/>
        </w:rPr>
        <w:t>e.g</w:t>
      </w:r>
      <w:proofErr w:type="spellEnd"/>
      <w:r w:rsidR="0049583F" w:rsidRPr="00D44E2B">
        <w:rPr>
          <w:rFonts w:ascii="Calibri" w:hAnsi="Calibri" w:cs="Calibri"/>
          <w:kern w:val="0"/>
          <w:sz w:val="24"/>
          <w:szCs w:val="24"/>
          <w14:ligatures w14:val="none"/>
        </w:rPr>
        <w:t xml:space="preserve">. malaria), infraestructura turística, </w:t>
      </w:r>
      <w:r w:rsidR="0049583F" w:rsidRPr="00D44E2B">
        <w:rPr>
          <w:rFonts w:ascii="Calibri" w:hAnsi="Calibri" w:cs="Calibri"/>
          <w:i/>
          <w:iCs/>
          <w:kern w:val="0"/>
          <w:sz w:val="24"/>
          <w:szCs w:val="24"/>
          <w14:ligatures w14:val="none"/>
        </w:rPr>
        <w:t>marketing</w:t>
      </w:r>
      <w:r w:rsidR="0049583F" w:rsidRPr="00D44E2B">
        <w:rPr>
          <w:rFonts w:ascii="Calibri" w:hAnsi="Calibri" w:cs="Calibri"/>
          <w:kern w:val="0"/>
          <w:sz w:val="24"/>
          <w:szCs w:val="24"/>
          <w14:ligatures w14:val="none"/>
        </w:rPr>
        <w:t xml:space="preserve"> y costos de viaje. Estos determinantes varían dependiendo del país emisor de turistas. </w:t>
      </w:r>
    </w:p>
    <w:p w14:paraId="6D05DB0B" w14:textId="707AFC01" w:rsidR="00606B29" w:rsidRDefault="0049583F" w:rsidP="003D0615">
      <w:pPr>
        <w:suppressAutoHyphens/>
        <w:spacing w:line="240" w:lineRule="auto"/>
        <w:ind w:firstLine="709"/>
        <w:jc w:val="both"/>
        <w:rPr>
          <w:rFonts w:ascii="Calibri" w:hAnsi="Calibri" w:cs="Calibri"/>
          <w:kern w:val="0"/>
          <w:sz w:val="24"/>
          <w:szCs w:val="24"/>
          <w:lang w:val="es-ES"/>
          <w14:ligatures w14:val="none"/>
        </w:rPr>
      </w:pPr>
      <w:r w:rsidRPr="00D44E2B">
        <w:rPr>
          <w:rFonts w:ascii="Calibri" w:hAnsi="Calibri" w:cs="Calibri"/>
          <w:kern w:val="0"/>
          <w:sz w:val="24"/>
          <w:szCs w:val="24"/>
          <w14:ligatures w14:val="none"/>
        </w:rPr>
        <w:lastRenderedPageBreak/>
        <w:t xml:space="preserve">De igual manera, la pandemia por COVID 19 generó un </w:t>
      </w:r>
      <w:r w:rsidRPr="00D44E2B">
        <w:rPr>
          <w:rFonts w:ascii="Calibri" w:hAnsi="Calibri" w:cs="Calibri"/>
          <w:kern w:val="0"/>
          <w:sz w:val="24"/>
          <w:szCs w:val="24"/>
          <w:lang w:val="es-ES"/>
          <w14:ligatures w14:val="none"/>
        </w:rPr>
        <w:t xml:space="preserve">decremento de 440 millones de turistas y 460,000 millones de dólares que se dejaron de percibir (OMT, </w:t>
      </w:r>
      <w:r w:rsidRPr="00BA76FB">
        <w:rPr>
          <w:rFonts w:ascii="Calibri" w:hAnsi="Calibri" w:cs="Calibri"/>
          <w:color w:val="C00000"/>
          <w:kern w:val="0"/>
          <w:sz w:val="24"/>
          <w:szCs w:val="24"/>
          <w:lang w:val="es-ES"/>
          <w14:ligatures w14:val="none"/>
        </w:rPr>
        <w:t>2020</w:t>
      </w:r>
      <w:r w:rsidRPr="00D44E2B">
        <w:rPr>
          <w:rFonts w:ascii="Calibri" w:hAnsi="Calibri" w:cs="Calibri"/>
          <w:kern w:val="0"/>
          <w:sz w:val="24"/>
          <w:szCs w:val="24"/>
          <w:lang w:val="es-ES"/>
          <w14:ligatures w14:val="none"/>
        </w:rPr>
        <w:t xml:space="preserve">). Según Zheng </w:t>
      </w:r>
      <w:r w:rsidR="00F76164" w:rsidRPr="00F76164">
        <w:rPr>
          <w:rFonts w:ascii="Calibri" w:hAnsi="Calibri" w:cs="Calibri"/>
          <w:i/>
          <w:kern w:val="0"/>
          <w:sz w:val="24"/>
          <w:szCs w:val="24"/>
          <w:lang w:val="es-ES"/>
          <w14:ligatures w14:val="none"/>
        </w:rPr>
        <w:t>et al.</w:t>
      </w:r>
      <w:r w:rsidR="00D3742D">
        <w:rPr>
          <w:rFonts w:ascii="Calibri" w:hAnsi="Calibri" w:cs="Calibri"/>
          <w:kern w:val="0"/>
          <w:sz w:val="24"/>
          <w:szCs w:val="24"/>
          <w:lang w:val="es-ES"/>
          <w14:ligatures w14:val="none"/>
        </w:rPr>
        <w:t>,</w:t>
      </w:r>
      <w:r w:rsidRPr="00D44E2B">
        <w:rPr>
          <w:rFonts w:ascii="Calibri" w:hAnsi="Calibri" w:cs="Calibri"/>
          <w:kern w:val="0"/>
          <w:sz w:val="24"/>
          <w:szCs w:val="24"/>
          <w:lang w:val="es-ES"/>
          <w14:ligatures w14:val="none"/>
        </w:rPr>
        <w:t xml:space="preserve"> (</w:t>
      </w:r>
      <w:r w:rsidRPr="009A78FE">
        <w:rPr>
          <w:rFonts w:ascii="Calibri" w:hAnsi="Calibri" w:cs="Calibri"/>
          <w:color w:val="C00000"/>
          <w:kern w:val="0"/>
          <w:sz w:val="24"/>
          <w:szCs w:val="24"/>
          <w:lang w:val="es-ES"/>
          <w14:ligatures w14:val="none"/>
        </w:rPr>
        <w:t>2021</w:t>
      </w:r>
      <w:r w:rsidRPr="00D44E2B">
        <w:rPr>
          <w:rFonts w:ascii="Calibri" w:hAnsi="Calibri" w:cs="Calibri"/>
          <w:kern w:val="0"/>
          <w:sz w:val="24"/>
          <w:szCs w:val="24"/>
          <w:lang w:val="es-ES"/>
          <w14:ligatures w14:val="none"/>
        </w:rPr>
        <w:t>) la pandemia por COVID 19 modificó el proceso de la toma de decisiones de turistas al viajar debido al miedo que generó esta emergencia sanitaria.</w:t>
      </w:r>
    </w:p>
    <w:p w14:paraId="03F410A1" w14:textId="02188961" w:rsidR="0049583F" w:rsidRPr="00D44E2B" w:rsidRDefault="0049583F" w:rsidP="003D0615">
      <w:pPr>
        <w:pStyle w:val="Prrafodelista"/>
        <w:numPr>
          <w:ilvl w:val="0"/>
          <w:numId w:val="3"/>
        </w:numPr>
        <w:tabs>
          <w:tab w:val="left" w:pos="426"/>
        </w:tabs>
        <w:suppressAutoHyphens/>
        <w:spacing w:line="240" w:lineRule="auto"/>
        <w:ind w:left="0" w:firstLine="0"/>
        <w:rPr>
          <w:rFonts w:ascii="Calibri" w:hAnsi="Calibri" w:cs="Calibri"/>
          <w:b/>
          <w:bCs/>
          <w:sz w:val="24"/>
          <w:szCs w:val="24"/>
          <w:lang w:val="es-ES"/>
        </w:rPr>
      </w:pPr>
      <w:r w:rsidRPr="00D44E2B">
        <w:rPr>
          <w:rFonts w:ascii="Calibri" w:hAnsi="Calibri" w:cs="Calibri"/>
          <w:b/>
          <w:bCs/>
          <w:sz w:val="24"/>
          <w:szCs w:val="24"/>
          <w:lang w:val="es-ES"/>
        </w:rPr>
        <w:t>M</w:t>
      </w:r>
      <w:r w:rsidR="005E1559" w:rsidRPr="00D44E2B">
        <w:rPr>
          <w:rFonts w:ascii="Calibri" w:hAnsi="Calibri" w:cs="Calibri"/>
          <w:b/>
          <w:bCs/>
          <w:sz w:val="24"/>
          <w:szCs w:val="24"/>
          <w:lang w:val="es-ES"/>
        </w:rPr>
        <w:t>etodología</w:t>
      </w:r>
    </w:p>
    <w:p w14:paraId="452EAAEF" w14:textId="6ECF5756" w:rsidR="0049583F" w:rsidRPr="00D44E2B" w:rsidRDefault="0049583F" w:rsidP="003D0615">
      <w:pPr>
        <w:suppressAutoHyphens/>
        <w:spacing w:line="240" w:lineRule="auto"/>
        <w:ind w:firstLine="709"/>
        <w:jc w:val="both"/>
        <w:rPr>
          <w:rFonts w:ascii="Calibri" w:hAnsi="Calibri" w:cs="Calibri"/>
          <w:kern w:val="0"/>
          <w:sz w:val="24"/>
          <w:szCs w:val="24"/>
          <w:lang w:val="es-ES"/>
          <w14:ligatures w14:val="none"/>
        </w:rPr>
      </w:pPr>
      <w:r w:rsidRPr="00D44E2B">
        <w:rPr>
          <w:rFonts w:ascii="Calibri" w:hAnsi="Calibri" w:cs="Calibri"/>
          <w:kern w:val="0"/>
          <w:sz w:val="24"/>
          <w:szCs w:val="24"/>
          <w:lang w:val="es-ES"/>
          <w14:ligatures w14:val="none"/>
        </w:rPr>
        <w:t xml:space="preserve">Se realizó un análisis descriptivo sobre el flujo </w:t>
      </w:r>
      <w:r w:rsidRPr="008D7C77">
        <w:rPr>
          <w:rFonts w:ascii="Calibri" w:hAnsi="Calibri" w:cs="Calibri"/>
          <w:kern w:val="0"/>
          <w:sz w:val="24"/>
          <w:szCs w:val="24"/>
          <w:lang w:val="es-ES"/>
          <w14:ligatures w14:val="none"/>
        </w:rPr>
        <w:t xml:space="preserve">turístico de la </w:t>
      </w:r>
      <w:r w:rsidR="00ED7A82" w:rsidRPr="008D7C77">
        <w:rPr>
          <w:rFonts w:ascii="Calibri" w:hAnsi="Calibri" w:cs="Calibri"/>
          <w:kern w:val="0"/>
          <w:sz w:val="24"/>
          <w:szCs w:val="24"/>
          <w:lang w:val="es-ES"/>
          <w14:ligatures w14:val="none"/>
        </w:rPr>
        <w:t>Reserva de la Biosfera El Pinacate y Gran Desierto de Altar (</w:t>
      </w:r>
      <w:r w:rsidRPr="008D7C77">
        <w:rPr>
          <w:rFonts w:ascii="Calibri" w:hAnsi="Calibri" w:cs="Calibri"/>
          <w:kern w:val="0"/>
          <w:sz w:val="24"/>
          <w:szCs w:val="24"/>
          <w:lang w:val="es-ES"/>
          <w14:ligatures w14:val="none"/>
        </w:rPr>
        <w:t>RBPGDA</w:t>
      </w:r>
      <w:r w:rsidR="008D7C77" w:rsidRPr="008D7C77">
        <w:rPr>
          <w:rFonts w:ascii="Calibri" w:hAnsi="Calibri" w:cs="Calibri"/>
          <w:kern w:val="0"/>
          <w:sz w:val="24"/>
          <w:szCs w:val="24"/>
          <w:lang w:val="es-ES"/>
          <w14:ligatures w14:val="none"/>
        </w:rPr>
        <w:t>).</w:t>
      </w:r>
      <w:r w:rsidRPr="008D7C77">
        <w:rPr>
          <w:rFonts w:ascii="Calibri" w:hAnsi="Calibri" w:cs="Calibri"/>
          <w:kern w:val="0"/>
          <w:sz w:val="24"/>
          <w:szCs w:val="24"/>
          <w:lang w:val="es-ES"/>
          <w14:ligatures w14:val="none"/>
        </w:rPr>
        <w:t xml:space="preserve"> Para lo anterior, se tomó como referencia las bases de datos</w:t>
      </w:r>
      <w:r w:rsidR="001E0AB2" w:rsidRPr="008D7C77">
        <w:rPr>
          <w:rFonts w:ascii="Calibri" w:hAnsi="Calibri" w:cs="Calibri"/>
          <w:kern w:val="0"/>
          <w:sz w:val="24"/>
          <w:szCs w:val="24"/>
          <w:lang w:val="es-ES"/>
          <w14:ligatures w14:val="none"/>
        </w:rPr>
        <w:t xml:space="preserve"> </w:t>
      </w:r>
      <w:r w:rsidRPr="008D7C77">
        <w:rPr>
          <w:rFonts w:ascii="Calibri" w:hAnsi="Calibri" w:cs="Calibri"/>
          <w:kern w:val="0"/>
          <w:sz w:val="24"/>
          <w:szCs w:val="24"/>
          <w:lang w:val="es-ES"/>
          <w14:ligatures w14:val="none"/>
        </w:rPr>
        <w:t xml:space="preserve">del Museo y Centro de Visitantes </w:t>
      </w:r>
      <w:proofErr w:type="spellStart"/>
      <w:r w:rsidRPr="008D7C77">
        <w:rPr>
          <w:rFonts w:ascii="Calibri" w:hAnsi="Calibri" w:cs="Calibri"/>
          <w:kern w:val="0"/>
          <w:sz w:val="24"/>
          <w:szCs w:val="24"/>
          <w:lang w:val="es-ES"/>
          <w14:ligatures w14:val="none"/>
        </w:rPr>
        <w:t>Schuk</w:t>
      </w:r>
      <w:proofErr w:type="spellEnd"/>
      <w:r w:rsidRPr="008D7C77">
        <w:rPr>
          <w:rFonts w:ascii="Calibri" w:hAnsi="Calibri" w:cs="Calibri"/>
          <w:kern w:val="0"/>
          <w:sz w:val="24"/>
          <w:szCs w:val="24"/>
          <w:lang w:val="es-ES"/>
          <w14:ligatures w14:val="none"/>
        </w:rPr>
        <w:t xml:space="preserve"> </w:t>
      </w:r>
      <w:proofErr w:type="spellStart"/>
      <w:r w:rsidRPr="008D7C77">
        <w:rPr>
          <w:rFonts w:ascii="Calibri" w:hAnsi="Calibri" w:cs="Calibri"/>
          <w:kern w:val="0"/>
          <w:sz w:val="24"/>
          <w:szCs w:val="24"/>
          <w:lang w:val="es-ES"/>
          <w14:ligatures w14:val="none"/>
        </w:rPr>
        <w:t>Toak</w:t>
      </w:r>
      <w:proofErr w:type="spellEnd"/>
      <w:r w:rsidRPr="00D44E2B">
        <w:rPr>
          <w:rFonts w:ascii="Calibri" w:hAnsi="Calibri" w:cs="Calibri"/>
          <w:kern w:val="0"/>
          <w:sz w:val="24"/>
          <w:szCs w:val="24"/>
          <w:lang w:val="es-ES"/>
          <w14:ligatures w14:val="none"/>
        </w:rPr>
        <w:t xml:space="preserve"> de esta ANP. Se presenta la información recabada del periodo que comprende de 2009 a 2021. </w:t>
      </w:r>
    </w:p>
    <w:p w14:paraId="2A606060" w14:textId="26DABFE2" w:rsidR="0049583F" w:rsidRPr="00D44E2B" w:rsidRDefault="0049583F" w:rsidP="003D0615">
      <w:pPr>
        <w:suppressAutoHyphens/>
        <w:spacing w:line="240" w:lineRule="auto"/>
        <w:ind w:firstLine="709"/>
        <w:jc w:val="both"/>
        <w:rPr>
          <w:rFonts w:ascii="Calibri" w:hAnsi="Calibri" w:cs="Calibri"/>
          <w:kern w:val="0"/>
          <w:sz w:val="24"/>
          <w:szCs w:val="24"/>
          <w:lang w:val="es-ES"/>
          <w14:ligatures w14:val="none"/>
        </w:rPr>
      </w:pPr>
      <w:r w:rsidRPr="00D44E2B">
        <w:rPr>
          <w:rFonts w:ascii="Calibri" w:hAnsi="Calibri" w:cs="Calibri"/>
          <w:kern w:val="0"/>
          <w:sz w:val="24"/>
          <w:szCs w:val="24"/>
          <w:lang w:val="es-ES"/>
          <w14:ligatures w14:val="none"/>
        </w:rPr>
        <w:t xml:space="preserve">Con el fin de conocer los principales factores que explican el flujo turístico de la RBPGDA, se elaboró un modelo de regresión lineal múltiple utilizando el paquete estadístico STATA versión 15. La variable dependiente fue el número de visitantes registrados. Como variables independientes se utilizaron: 1) </w:t>
      </w:r>
      <w:r w:rsidR="00CD4E59">
        <w:rPr>
          <w:rFonts w:ascii="Calibri" w:hAnsi="Calibri" w:cs="Calibri"/>
          <w:kern w:val="0"/>
          <w:sz w:val="24"/>
          <w:szCs w:val="24"/>
          <w:lang w:val="es-ES"/>
          <w14:ligatures w14:val="none"/>
        </w:rPr>
        <w:t>r</w:t>
      </w:r>
      <w:r w:rsidRPr="00D44E2B">
        <w:rPr>
          <w:rFonts w:ascii="Calibri" w:hAnsi="Calibri" w:cs="Calibri"/>
          <w:kern w:val="0"/>
          <w:sz w:val="24"/>
          <w:szCs w:val="24"/>
          <w:lang w:val="es-ES"/>
          <w14:ligatures w14:val="none"/>
        </w:rPr>
        <w:t xml:space="preserve">iesgo por salud, 2) PIB turístico, 3) </w:t>
      </w:r>
      <w:r w:rsidR="00CD4E59">
        <w:rPr>
          <w:rFonts w:ascii="Calibri" w:hAnsi="Calibri" w:cs="Calibri"/>
          <w:kern w:val="0"/>
          <w:sz w:val="24"/>
          <w:szCs w:val="24"/>
          <w:lang w:val="es-ES"/>
          <w14:ligatures w14:val="none"/>
        </w:rPr>
        <w:t>í</w:t>
      </w:r>
      <w:r w:rsidRPr="00D44E2B">
        <w:rPr>
          <w:rFonts w:ascii="Calibri" w:hAnsi="Calibri" w:cs="Calibri"/>
          <w:kern w:val="0"/>
          <w:sz w:val="24"/>
          <w:szCs w:val="24"/>
          <w:lang w:val="es-ES"/>
          <w14:ligatures w14:val="none"/>
        </w:rPr>
        <w:t xml:space="preserve">ndice riesgo país, 4) </w:t>
      </w:r>
      <w:r w:rsidR="00CD4E59">
        <w:rPr>
          <w:rFonts w:ascii="Calibri" w:hAnsi="Calibri" w:cs="Calibri"/>
          <w:kern w:val="0"/>
          <w:sz w:val="24"/>
          <w:szCs w:val="24"/>
          <w:lang w:val="es-ES"/>
          <w14:ligatures w14:val="none"/>
        </w:rPr>
        <w:t>s</w:t>
      </w:r>
      <w:r w:rsidRPr="00D44E2B">
        <w:rPr>
          <w:rFonts w:ascii="Calibri" w:hAnsi="Calibri" w:cs="Calibri"/>
          <w:kern w:val="0"/>
          <w:sz w:val="24"/>
          <w:szCs w:val="24"/>
          <w:lang w:val="es-ES"/>
          <w14:ligatures w14:val="none"/>
        </w:rPr>
        <w:t xml:space="preserve">itio </w:t>
      </w:r>
      <w:r w:rsidR="00CD4E59">
        <w:rPr>
          <w:rFonts w:ascii="Calibri" w:hAnsi="Calibri" w:cs="Calibri"/>
          <w:kern w:val="0"/>
          <w:sz w:val="24"/>
          <w:szCs w:val="24"/>
          <w:lang w:val="es-ES"/>
          <w14:ligatures w14:val="none"/>
        </w:rPr>
        <w:t>p</w:t>
      </w:r>
      <w:r w:rsidRPr="00D44E2B">
        <w:rPr>
          <w:rFonts w:ascii="Calibri" w:hAnsi="Calibri" w:cs="Calibri"/>
          <w:kern w:val="0"/>
          <w:sz w:val="24"/>
          <w:szCs w:val="24"/>
          <w:lang w:val="es-ES"/>
          <w14:ligatures w14:val="none"/>
        </w:rPr>
        <w:t xml:space="preserve">atrimonio </w:t>
      </w:r>
      <w:r w:rsidR="00CD4E59">
        <w:rPr>
          <w:rFonts w:ascii="Calibri" w:hAnsi="Calibri" w:cs="Calibri"/>
          <w:kern w:val="0"/>
          <w:sz w:val="24"/>
          <w:szCs w:val="24"/>
          <w:lang w:val="es-ES"/>
          <w14:ligatures w14:val="none"/>
        </w:rPr>
        <w:t>m</w:t>
      </w:r>
      <w:r w:rsidRPr="00D44E2B">
        <w:rPr>
          <w:rFonts w:ascii="Calibri" w:hAnsi="Calibri" w:cs="Calibri"/>
          <w:kern w:val="0"/>
          <w:sz w:val="24"/>
          <w:szCs w:val="24"/>
          <w:lang w:val="es-ES"/>
          <w14:ligatures w14:val="none"/>
        </w:rPr>
        <w:t>undial</w:t>
      </w:r>
      <w:r w:rsidR="00CD4E59">
        <w:rPr>
          <w:rFonts w:ascii="Calibri" w:hAnsi="Calibri" w:cs="Calibri"/>
          <w:kern w:val="0"/>
          <w:sz w:val="24"/>
          <w:szCs w:val="24"/>
          <w:lang w:val="es-ES"/>
          <w14:ligatures w14:val="none"/>
        </w:rPr>
        <w:t>,</w:t>
      </w:r>
      <w:r w:rsidRPr="00D44E2B">
        <w:rPr>
          <w:rFonts w:ascii="Calibri" w:hAnsi="Calibri" w:cs="Calibri"/>
          <w:kern w:val="0"/>
          <w:sz w:val="24"/>
          <w:szCs w:val="24"/>
          <w:lang w:val="es-ES"/>
          <w14:ligatures w14:val="none"/>
        </w:rPr>
        <w:t xml:space="preserve"> 5) </w:t>
      </w:r>
      <w:r w:rsidR="00CD4E59">
        <w:rPr>
          <w:rFonts w:ascii="Calibri" w:hAnsi="Calibri" w:cs="Calibri"/>
          <w:kern w:val="0"/>
          <w:sz w:val="24"/>
          <w:szCs w:val="24"/>
          <w:lang w:val="es-ES"/>
          <w14:ligatures w14:val="none"/>
        </w:rPr>
        <w:t>i</w:t>
      </w:r>
      <w:r w:rsidRPr="00D44E2B">
        <w:rPr>
          <w:rFonts w:ascii="Calibri" w:hAnsi="Calibri" w:cs="Calibri"/>
          <w:kern w:val="0"/>
          <w:sz w:val="24"/>
          <w:szCs w:val="24"/>
          <w:lang w:val="es-ES"/>
          <w14:ligatures w14:val="none"/>
        </w:rPr>
        <w:t xml:space="preserve">nflación, 6) </w:t>
      </w:r>
      <w:r w:rsidR="00CD4E59">
        <w:rPr>
          <w:rFonts w:ascii="Calibri" w:hAnsi="Calibri" w:cs="Calibri"/>
          <w:kern w:val="0"/>
          <w:sz w:val="24"/>
          <w:szCs w:val="24"/>
          <w:lang w:val="es-ES"/>
          <w14:ligatures w14:val="none"/>
        </w:rPr>
        <w:t>p</w:t>
      </w:r>
      <w:r w:rsidRPr="00D44E2B">
        <w:rPr>
          <w:rFonts w:ascii="Calibri" w:hAnsi="Calibri" w:cs="Calibri"/>
          <w:kern w:val="0"/>
          <w:sz w:val="24"/>
          <w:szCs w:val="24"/>
          <w:lang w:val="es-ES"/>
          <w14:ligatures w14:val="none"/>
        </w:rPr>
        <w:t xml:space="preserve">eríodos vacacionales, 7) </w:t>
      </w:r>
      <w:r w:rsidR="00CD4E59">
        <w:rPr>
          <w:rFonts w:ascii="Calibri" w:hAnsi="Calibri" w:cs="Calibri"/>
          <w:kern w:val="0"/>
          <w:sz w:val="24"/>
          <w:szCs w:val="24"/>
          <w:lang w:val="es-ES"/>
          <w14:ligatures w14:val="none"/>
        </w:rPr>
        <w:t>i</w:t>
      </w:r>
      <w:r w:rsidRPr="00D44E2B">
        <w:rPr>
          <w:rFonts w:ascii="Calibri" w:hAnsi="Calibri" w:cs="Calibri"/>
          <w:kern w:val="0"/>
          <w:sz w:val="24"/>
          <w:szCs w:val="24"/>
          <w:lang w:val="es-ES"/>
          <w14:ligatures w14:val="none"/>
        </w:rPr>
        <w:t xml:space="preserve">ngreso del hogar, 8) </w:t>
      </w:r>
      <w:r w:rsidR="00CD4E59">
        <w:rPr>
          <w:rFonts w:ascii="Calibri" w:hAnsi="Calibri" w:cs="Calibri"/>
          <w:kern w:val="0"/>
          <w:sz w:val="24"/>
          <w:szCs w:val="24"/>
          <w:lang w:val="es-ES"/>
          <w14:ligatures w14:val="none"/>
        </w:rPr>
        <w:t>c</w:t>
      </w:r>
      <w:r w:rsidRPr="00D44E2B">
        <w:rPr>
          <w:rFonts w:ascii="Calibri" w:hAnsi="Calibri" w:cs="Calibri"/>
          <w:kern w:val="0"/>
          <w:sz w:val="24"/>
          <w:szCs w:val="24"/>
          <w:lang w:val="es-ES"/>
          <w14:ligatures w14:val="none"/>
        </w:rPr>
        <w:t xml:space="preserve">onfianza del consumidor y 9) </w:t>
      </w:r>
      <w:r w:rsidR="00CD4E59">
        <w:rPr>
          <w:rFonts w:ascii="Calibri" w:hAnsi="Calibri" w:cs="Calibri"/>
          <w:kern w:val="0"/>
          <w:sz w:val="24"/>
          <w:szCs w:val="24"/>
          <w:lang w:val="es-ES"/>
          <w14:ligatures w14:val="none"/>
        </w:rPr>
        <w:t>t</w:t>
      </w:r>
      <w:r w:rsidRPr="00D44E2B">
        <w:rPr>
          <w:rFonts w:ascii="Calibri" w:hAnsi="Calibri" w:cs="Calibri"/>
          <w:kern w:val="0"/>
          <w:sz w:val="24"/>
          <w:szCs w:val="24"/>
          <w:lang w:val="es-ES"/>
          <w14:ligatures w14:val="none"/>
        </w:rPr>
        <w:t>ipo de cambio. Cabe hacer mención, que la periodicidad de los datos se recabó de manera trimestral.</w:t>
      </w:r>
    </w:p>
    <w:p w14:paraId="038C421A" w14:textId="20B51C8A" w:rsidR="00F8304F" w:rsidRDefault="00F8304F" w:rsidP="003D0615">
      <w:pPr>
        <w:spacing w:line="278" w:lineRule="auto"/>
        <w:ind w:firstLine="709"/>
        <w:jc w:val="both"/>
        <w:rPr>
          <w:rFonts w:ascii="Calibri" w:hAnsi="Calibri" w:cs="Calibri"/>
          <w:kern w:val="0"/>
          <w:sz w:val="24"/>
          <w:szCs w:val="24"/>
          <w:lang w:val="es-ES"/>
          <w14:ligatures w14:val="none"/>
        </w:rPr>
      </w:pPr>
      <w:r w:rsidRPr="00F8304F">
        <w:rPr>
          <w:rFonts w:ascii="Calibri" w:hAnsi="Calibri" w:cs="Calibri"/>
          <w:kern w:val="0"/>
          <w:sz w:val="24"/>
          <w:szCs w:val="24"/>
          <w:lang w:val="es-ES"/>
          <w14:ligatures w14:val="none"/>
        </w:rPr>
        <w:t xml:space="preserve">Las variables del modelo se construyeron a partir de fuentes oficiales. El riesgo por salud (COVID) y los períodos vacacionales se definieron como variables </w:t>
      </w:r>
      <w:proofErr w:type="spellStart"/>
      <w:r w:rsidRPr="00F8304F">
        <w:rPr>
          <w:rFonts w:ascii="Calibri" w:hAnsi="Calibri" w:cs="Calibri"/>
          <w:kern w:val="0"/>
          <w:sz w:val="24"/>
          <w:szCs w:val="24"/>
          <w:lang w:val="es-ES"/>
          <w14:ligatures w14:val="none"/>
        </w:rPr>
        <w:t>dummy</w:t>
      </w:r>
      <w:proofErr w:type="spellEnd"/>
      <w:r w:rsidRPr="00F8304F">
        <w:rPr>
          <w:rFonts w:ascii="Calibri" w:hAnsi="Calibri" w:cs="Calibri"/>
          <w:kern w:val="0"/>
          <w:sz w:val="24"/>
          <w:szCs w:val="24"/>
          <w:lang w:val="es-ES"/>
          <w14:ligatures w14:val="none"/>
        </w:rPr>
        <w:t>, u</w:t>
      </w:r>
      <w:r w:rsidR="00F55A45">
        <w:rPr>
          <w:rFonts w:ascii="Calibri" w:hAnsi="Calibri" w:cs="Calibri"/>
          <w:kern w:val="0"/>
          <w:sz w:val="24"/>
          <w:szCs w:val="24"/>
          <w:lang w:val="es-ES"/>
          <w14:ligatures w14:val="none"/>
        </w:rPr>
        <w:t>tilizando</w:t>
      </w:r>
      <w:r w:rsidRPr="00F8304F">
        <w:rPr>
          <w:rFonts w:ascii="Calibri" w:hAnsi="Calibri" w:cs="Calibri"/>
          <w:kern w:val="0"/>
          <w:sz w:val="24"/>
          <w:szCs w:val="24"/>
          <w:lang w:val="es-ES"/>
          <w14:ligatures w14:val="none"/>
        </w:rPr>
        <w:t xml:space="preserve"> registros de visitas y calendarios escolares de la </w:t>
      </w:r>
      <w:r w:rsidR="00674F82">
        <w:rPr>
          <w:rFonts w:ascii="Calibri" w:hAnsi="Calibri" w:cs="Calibri"/>
          <w:kern w:val="0"/>
          <w:sz w:val="24"/>
          <w:szCs w:val="24"/>
          <w:lang w:val="es-ES"/>
          <w14:ligatures w14:val="none"/>
        </w:rPr>
        <w:t>Secretaría de Educación Pública</w:t>
      </w:r>
      <w:r w:rsidR="00411E8C">
        <w:rPr>
          <w:rFonts w:ascii="Calibri" w:hAnsi="Calibri" w:cs="Calibri"/>
          <w:kern w:val="0"/>
          <w:sz w:val="24"/>
          <w:szCs w:val="24"/>
          <w:lang w:val="es-ES"/>
          <w14:ligatures w14:val="none"/>
        </w:rPr>
        <w:t xml:space="preserve">, </w:t>
      </w:r>
      <w:r w:rsidR="00411E8C" w:rsidRPr="00411E8C">
        <w:rPr>
          <w:rFonts w:ascii="Calibri" w:hAnsi="Calibri" w:cs="Calibri"/>
          <w:color w:val="C00000"/>
          <w:kern w:val="0"/>
          <w:sz w:val="24"/>
          <w:szCs w:val="24"/>
          <w:lang w:val="es-ES"/>
          <w14:ligatures w14:val="none"/>
        </w:rPr>
        <w:t>2021</w:t>
      </w:r>
      <w:r w:rsidRPr="00F8304F">
        <w:rPr>
          <w:rFonts w:ascii="Calibri" w:hAnsi="Calibri" w:cs="Calibri"/>
          <w:kern w:val="0"/>
          <w:sz w:val="24"/>
          <w:szCs w:val="24"/>
          <w:lang w:val="es-ES"/>
          <w14:ligatures w14:val="none"/>
        </w:rPr>
        <w:t xml:space="preserve">. El PIB turístico, la inflación y la confianza del consumidor provienen de bases de datos del </w:t>
      </w:r>
      <w:r w:rsidR="00674F82">
        <w:rPr>
          <w:rFonts w:ascii="Calibri" w:hAnsi="Calibri" w:cs="Calibri"/>
          <w:kern w:val="0"/>
          <w:sz w:val="24"/>
          <w:szCs w:val="24"/>
          <w:lang w:val="es-ES"/>
          <w14:ligatures w14:val="none"/>
        </w:rPr>
        <w:t>Instituto Nacional de Estadística y Geografía (</w:t>
      </w:r>
      <w:r w:rsidRPr="00F8304F">
        <w:rPr>
          <w:rFonts w:ascii="Calibri" w:hAnsi="Calibri" w:cs="Calibri"/>
          <w:kern w:val="0"/>
          <w:sz w:val="24"/>
          <w:szCs w:val="24"/>
          <w:lang w:val="es-ES"/>
          <w14:ligatures w14:val="none"/>
        </w:rPr>
        <w:t>INEGI</w:t>
      </w:r>
      <w:r w:rsidR="00674F82">
        <w:rPr>
          <w:rFonts w:ascii="Calibri" w:hAnsi="Calibri" w:cs="Calibri"/>
          <w:kern w:val="0"/>
          <w:sz w:val="24"/>
          <w:szCs w:val="24"/>
          <w:lang w:val="es-ES"/>
          <w14:ligatures w14:val="none"/>
        </w:rPr>
        <w:t>)</w:t>
      </w:r>
      <w:r w:rsidRPr="00F8304F">
        <w:rPr>
          <w:rFonts w:ascii="Calibri" w:hAnsi="Calibri" w:cs="Calibri"/>
          <w:kern w:val="0"/>
          <w:sz w:val="24"/>
          <w:szCs w:val="24"/>
          <w:lang w:val="es-ES"/>
          <w14:ligatures w14:val="none"/>
        </w:rPr>
        <w:t>, mientras que el índice de riesgo país se obtuvo de JP Morgan (</w:t>
      </w:r>
      <w:r w:rsidRPr="00C47529">
        <w:rPr>
          <w:rFonts w:ascii="Calibri" w:hAnsi="Calibri" w:cs="Calibri"/>
          <w:color w:val="C00000"/>
          <w:kern w:val="0"/>
          <w:sz w:val="24"/>
          <w:szCs w:val="24"/>
          <w:lang w:val="es-ES"/>
          <w14:ligatures w14:val="none"/>
        </w:rPr>
        <w:t>2023</w:t>
      </w:r>
      <w:r w:rsidRPr="00F8304F">
        <w:rPr>
          <w:rFonts w:ascii="Calibri" w:hAnsi="Calibri" w:cs="Calibri"/>
          <w:kern w:val="0"/>
          <w:sz w:val="24"/>
          <w:szCs w:val="24"/>
          <w:lang w:val="es-ES"/>
          <w14:ligatures w14:val="none"/>
        </w:rPr>
        <w:t xml:space="preserve">). La variable de </w:t>
      </w:r>
      <w:r w:rsidR="00474452">
        <w:rPr>
          <w:rFonts w:ascii="Calibri" w:hAnsi="Calibri" w:cs="Calibri"/>
          <w:kern w:val="0"/>
          <w:sz w:val="24"/>
          <w:szCs w:val="24"/>
          <w:lang w:val="es-ES"/>
          <w14:ligatures w14:val="none"/>
        </w:rPr>
        <w:t>s</w:t>
      </w:r>
      <w:r w:rsidRPr="00F8304F">
        <w:rPr>
          <w:rFonts w:ascii="Calibri" w:hAnsi="Calibri" w:cs="Calibri"/>
          <w:kern w:val="0"/>
          <w:sz w:val="24"/>
          <w:szCs w:val="24"/>
          <w:lang w:val="es-ES"/>
          <w14:ligatures w14:val="none"/>
        </w:rPr>
        <w:t xml:space="preserve">itio </w:t>
      </w:r>
      <w:r w:rsidR="00474452">
        <w:rPr>
          <w:rFonts w:ascii="Calibri" w:hAnsi="Calibri" w:cs="Calibri"/>
          <w:kern w:val="0"/>
          <w:sz w:val="24"/>
          <w:szCs w:val="24"/>
          <w:lang w:val="es-ES"/>
          <w14:ligatures w14:val="none"/>
        </w:rPr>
        <w:t>p</w:t>
      </w:r>
      <w:r w:rsidRPr="00F8304F">
        <w:rPr>
          <w:rFonts w:ascii="Calibri" w:hAnsi="Calibri" w:cs="Calibri"/>
          <w:kern w:val="0"/>
          <w:sz w:val="24"/>
          <w:szCs w:val="24"/>
          <w:lang w:val="es-ES"/>
          <w14:ligatures w14:val="none"/>
        </w:rPr>
        <w:t xml:space="preserve">atrimonio </w:t>
      </w:r>
      <w:r w:rsidR="00474452">
        <w:rPr>
          <w:rFonts w:ascii="Calibri" w:hAnsi="Calibri" w:cs="Calibri"/>
          <w:kern w:val="0"/>
          <w:sz w:val="24"/>
          <w:szCs w:val="24"/>
          <w:lang w:val="es-ES"/>
          <w14:ligatures w14:val="none"/>
        </w:rPr>
        <w:t>m</w:t>
      </w:r>
      <w:r w:rsidRPr="00F8304F">
        <w:rPr>
          <w:rFonts w:ascii="Calibri" w:hAnsi="Calibri" w:cs="Calibri"/>
          <w:kern w:val="0"/>
          <w:sz w:val="24"/>
          <w:szCs w:val="24"/>
          <w:lang w:val="es-ES"/>
          <w14:ligatures w14:val="none"/>
        </w:rPr>
        <w:t xml:space="preserve">undial también es </w:t>
      </w:r>
      <w:proofErr w:type="spellStart"/>
      <w:r w:rsidRPr="00F8304F">
        <w:rPr>
          <w:rFonts w:ascii="Calibri" w:hAnsi="Calibri" w:cs="Calibri"/>
          <w:kern w:val="0"/>
          <w:sz w:val="24"/>
          <w:szCs w:val="24"/>
          <w:lang w:val="es-ES"/>
          <w14:ligatures w14:val="none"/>
        </w:rPr>
        <w:t>dummy</w:t>
      </w:r>
      <w:proofErr w:type="spellEnd"/>
      <w:r w:rsidRPr="00F8304F">
        <w:rPr>
          <w:rFonts w:ascii="Calibri" w:hAnsi="Calibri" w:cs="Calibri"/>
          <w:kern w:val="0"/>
          <w:sz w:val="24"/>
          <w:szCs w:val="24"/>
          <w:lang w:val="es-ES"/>
          <w14:ligatures w14:val="none"/>
        </w:rPr>
        <w:t>, asignando 1 tras la designación y 0 antes</w:t>
      </w:r>
      <w:r w:rsidR="00BE4E4C">
        <w:rPr>
          <w:rFonts w:ascii="Calibri" w:hAnsi="Calibri" w:cs="Calibri"/>
          <w:kern w:val="0"/>
          <w:sz w:val="24"/>
          <w:szCs w:val="24"/>
          <w:lang w:val="es-ES"/>
          <w14:ligatures w14:val="none"/>
        </w:rPr>
        <w:t xml:space="preserve"> de la designación</w:t>
      </w:r>
      <w:r w:rsidRPr="00F8304F">
        <w:rPr>
          <w:rFonts w:ascii="Calibri" w:hAnsi="Calibri" w:cs="Calibri"/>
          <w:kern w:val="0"/>
          <w:sz w:val="24"/>
          <w:szCs w:val="24"/>
          <w:lang w:val="es-ES"/>
          <w14:ligatures w14:val="none"/>
        </w:rPr>
        <w:t xml:space="preserve">. El ingreso del hogar se extrajo de la </w:t>
      </w:r>
      <w:r w:rsidR="00BE4E4C">
        <w:rPr>
          <w:rFonts w:ascii="Calibri" w:hAnsi="Calibri" w:cs="Calibri"/>
          <w:kern w:val="0"/>
          <w:sz w:val="24"/>
          <w:szCs w:val="24"/>
          <w:lang w:val="es-ES"/>
          <w14:ligatures w14:val="none"/>
        </w:rPr>
        <w:t>Encuesta Nacional de Ingreso</w:t>
      </w:r>
      <w:r w:rsidR="004541AD">
        <w:rPr>
          <w:rFonts w:ascii="Calibri" w:hAnsi="Calibri" w:cs="Calibri"/>
          <w:kern w:val="0"/>
          <w:sz w:val="24"/>
          <w:szCs w:val="24"/>
          <w:lang w:val="es-ES"/>
          <w14:ligatures w14:val="none"/>
        </w:rPr>
        <w:t>s</w:t>
      </w:r>
      <w:r w:rsidR="00BE4E4C">
        <w:rPr>
          <w:rFonts w:ascii="Calibri" w:hAnsi="Calibri" w:cs="Calibri"/>
          <w:kern w:val="0"/>
          <w:sz w:val="24"/>
          <w:szCs w:val="24"/>
          <w:lang w:val="es-ES"/>
          <w14:ligatures w14:val="none"/>
        </w:rPr>
        <w:t xml:space="preserve"> y Gasto</w:t>
      </w:r>
      <w:r w:rsidR="004541AD">
        <w:rPr>
          <w:rFonts w:ascii="Calibri" w:hAnsi="Calibri" w:cs="Calibri"/>
          <w:kern w:val="0"/>
          <w:sz w:val="24"/>
          <w:szCs w:val="24"/>
          <w:lang w:val="es-ES"/>
          <w14:ligatures w14:val="none"/>
        </w:rPr>
        <w:t>s</w:t>
      </w:r>
      <w:r w:rsidR="00BE4E4C">
        <w:rPr>
          <w:rFonts w:ascii="Calibri" w:hAnsi="Calibri" w:cs="Calibri"/>
          <w:kern w:val="0"/>
          <w:sz w:val="24"/>
          <w:szCs w:val="24"/>
          <w:lang w:val="es-ES"/>
          <w14:ligatures w14:val="none"/>
        </w:rPr>
        <w:t xml:space="preserve"> de los Hogares (</w:t>
      </w:r>
      <w:r w:rsidRPr="00F8304F">
        <w:rPr>
          <w:rFonts w:ascii="Calibri" w:hAnsi="Calibri" w:cs="Calibri"/>
          <w:kern w:val="0"/>
          <w:sz w:val="24"/>
          <w:szCs w:val="24"/>
          <w:lang w:val="es-ES"/>
          <w14:ligatures w14:val="none"/>
        </w:rPr>
        <w:t>ENIGH</w:t>
      </w:r>
      <w:r w:rsidR="00BE4E4C">
        <w:rPr>
          <w:rFonts w:ascii="Calibri" w:hAnsi="Calibri" w:cs="Calibri"/>
          <w:kern w:val="0"/>
          <w:sz w:val="24"/>
          <w:szCs w:val="24"/>
          <w:lang w:val="es-ES"/>
          <w14:ligatures w14:val="none"/>
        </w:rPr>
        <w:t xml:space="preserve">) del </w:t>
      </w:r>
      <w:r w:rsidR="00693768" w:rsidRPr="00F8304F">
        <w:rPr>
          <w:rFonts w:ascii="Calibri" w:hAnsi="Calibri" w:cs="Calibri"/>
          <w:kern w:val="0"/>
          <w:sz w:val="24"/>
          <w:szCs w:val="24"/>
          <w:lang w:val="es-ES"/>
          <w14:ligatures w14:val="none"/>
        </w:rPr>
        <w:t>INEGI</w:t>
      </w:r>
      <w:r w:rsidR="00693768">
        <w:rPr>
          <w:rFonts w:ascii="Calibri" w:hAnsi="Calibri" w:cs="Calibri"/>
          <w:kern w:val="0"/>
          <w:sz w:val="24"/>
          <w:szCs w:val="24"/>
          <w:lang w:val="es-ES"/>
          <w14:ligatures w14:val="none"/>
        </w:rPr>
        <w:t xml:space="preserve">, </w:t>
      </w:r>
      <w:r w:rsidR="00693768" w:rsidRPr="00F8304F">
        <w:rPr>
          <w:rFonts w:ascii="Calibri" w:hAnsi="Calibri" w:cs="Calibri"/>
          <w:kern w:val="0"/>
          <w:sz w:val="24"/>
          <w:szCs w:val="24"/>
          <w:lang w:val="es-ES"/>
          <w14:ligatures w14:val="none"/>
        </w:rPr>
        <w:t>y</w:t>
      </w:r>
      <w:r w:rsidRPr="00F8304F">
        <w:rPr>
          <w:rFonts w:ascii="Calibri" w:hAnsi="Calibri" w:cs="Calibri"/>
          <w:kern w:val="0"/>
          <w:sz w:val="24"/>
          <w:szCs w:val="24"/>
          <w:lang w:val="es-ES"/>
          <w14:ligatures w14:val="none"/>
        </w:rPr>
        <w:t xml:space="preserve"> el tipo de cambio</w:t>
      </w:r>
      <w:r w:rsidR="0027703E">
        <w:rPr>
          <w:rFonts w:ascii="Calibri" w:hAnsi="Calibri" w:cs="Calibri"/>
          <w:kern w:val="0"/>
          <w:sz w:val="24"/>
          <w:szCs w:val="24"/>
          <w:lang w:val="es-ES"/>
          <w14:ligatures w14:val="none"/>
        </w:rPr>
        <w:t xml:space="preserve">, con base en </w:t>
      </w:r>
      <w:r w:rsidRPr="00F8304F">
        <w:rPr>
          <w:rFonts w:ascii="Calibri" w:hAnsi="Calibri" w:cs="Calibri"/>
          <w:kern w:val="0"/>
          <w:sz w:val="24"/>
          <w:szCs w:val="24"/>
          <w:lang w:val="es-ES"/>
          <w14:ligatures w14:val="none"/>
        </w:rPr>
        <w:t>el Banco de México. Así, el modelo integra variables económicas, sociales y sanitarias, todas respaldadas por fuentes oficiales nacionales e internacionales</w:t>
      </w:r>
      <w:r w:rsidR="00BE4E4C">
        <w:rPr>
          <w:rFonts w:ascii="Calibri" w:hAnsi="Calibri" w:cs="Calibri"/>
          <w:kern w:val="0"/>
          <w:sz w:val="24"/>
          <w:szCs w:val="24"/>
          <w:lang w:val="es-ES"/>
          <w14:ligatures w14:val="none"/>
        </w:rPr>
        <w:t>.</w:t>
      </w:r>
    </w:p>
    <w:p w14:paraId="32E692FC" w14:textId="357FD146" w:rsidR="00EA20D1" w:rsidRPr="00EA20D1" w:rsidRDefault="00255330" w:rsidP="003D0615">
      <w:pPr>
        <w:spacing w:line="278" w:lineRule="auto"/>
        <w:ind w:firstLine="709"/>
        <w:rPr>
          <w:rFonts w:ascii="Calibri" w:eastAsia="Aptos" w:hAnsi="Calibri" w:cs="Calibri"/>
          <w:b/>
          <w:bCs/>
          <w:kern w:val="0"/>
          <w:sz w:val="24"/>
          <w:szCs w:val="24"/>
          <w14:ligatures w14:val="none"/>
        </w:rPr>
      </w:pPr>
      <w:r>
        <w:rPr>
          <w:rFonts w:ascii="Calibri" w:eastAsia="Aptos" w:hAnsi="Calibri" w:cs="Calibri"/>
          <w:b/>
          <w:bCs/>
          <w:kern w:val="0"/>
          <w:sz w:val="24"/>
          <w:szCs w:val="24"/>
          <w14:ligatures w14:val="none"/>
        </w:rPr>
        <w:t xml:space="preserve">2.1 </w:t>
      </w:r>
      <w:r w:rsidR="00EA20D1" w:rsidRPr="00EA20D1">
        <w:rPr>
          <w:rFonts w:ascii="Calibri" w:eastAsia="Aptos" w:hAnsi="Calibri" w:cs="Calibri"/>
          <w:b/>
          <w:bCs/>
          <w:kern w:val="0"/>
          <w:sz w:val="24"/>
          <w:szCs w:val="24"/>
          <w14:ligatures w14:val="none"/>
        </w:rPr>
        <w:t xml:space="preserve">Enfoque, </w:t>
      </w:r>
      <w:r w:rsidR="00EA20D1">
        <w:rPr>
          <w:rFonts w:ascii="Calibri" w:eastAsia="Aptos" w:hAnsi="Calibri" w:cs="Calibri"/>
          <w:b/>
          <w:bCs/>
          <w:kern w:val="0"/>
          <w:sz w:val="24"/>
          <w:szCs w:val="24"/>
          <w14:ligatures w14:val="none"/>
        </w:rPr>
        <w:t>t</w:t>
      </w:r>
      <w:r w:rsidR="00EA20D1" w:rsidRPr="00EA20D1">
        <w:rPr>
          <w:rFonts w:ascii="Calibri" w:eastAsia="Aptos" w:hAnsi="Calibri" w:cs="Calibri"/>
          <w:b/>
          <w:bCs/>
          <w:kern w:val="0"/>
          <w:sz w:val="24"/>
          <w:szCs w:val="24"/>
          <w14:ligatures w14:val="none"/>
        </w:rPr>
        <w:t>ipo</w:t>
      </w:r>
      <w:r w:rsidR="00EA20D1">
        <w:rPr>
          <w:rFonts w:ascii="Calibri" w:eastAsia="Aptos" w:hAnsi="Calibri" w:cs="Calibri"/>
          <w:b/>
          <w:bCs/>
          <w:kern w:val="0"/>
          <w:sz w:val="24"/>
          <w:szCs w:val="24"/>
          <w14:ligatures w14:val="none"/>
        </w:rPr>
        <w:t xml:space="preserve">, diseño </w:t>
      </w:r>
      <w:r>
        <w:rPr>
          <w:rFonts w:ascii="Calibri" w:eastAsia="Aptos" w:hAnsi="Calibri" w:cs="Calibri"/>
          <w:b/>
          <w:bCs/>
          <w:kern w:val="0"/>
          <w:sz w:val="24"/>
          <w:szCs w:val="24"/>
          <w14:ligatures w14:val="none"/>
        </w:rPr>
        <w:t>de la investigación</w:t>
      </w:r>
    </w:p>
    <w:p w14:paraId="1C0D1041" w14:textId="6D1E6FFD" w:rsidR="00EA20D1" w:rsidRPr="007B332C" w:rsidRDefault="00EA20D1" w:rsidP="003D0615">
      <w:pPr>
        <w:spacing w:line="278" w:lineRule="auto"/>
        <w:ind w:firstLine="709"/>
        <w:jc w:val="both"/>
        <w:rPr>
          <w:rFonts w:ascii="Calibri" w:eastAsia="Aptos" w:hAnsi="Calibri" w:cs="Calibri"/>
          <w:kern w:val="0"/>
          <w:sz w:val="24"/>
          <w:szCs w:val="24"/>
          <w14:ligatures w14:val="none"/>
        </w:rPr>
      </w:pPr>
      <w:r w:rsidRPr="00886CC9">
        <w:rPr>
          <w:rFonts w:ascii="Calibri" w:eastAsia="Aptos" w:hAnsi="Calibri" w:cs="Calibri"/>
          <w:kern w:val="0"/>
          <w:sz w:val="24"/>
          <w:szCs w:val="24"/>
          <w:shd w:val="clear" w:color="auto" w:fill="FFFFFF" w:themeFill="background1"/>
          <w14:ligatures w14:val="none"/>
        </w:rPr>
        <w:t xml:space="preserve">El estudio utiliza un enfoque cuantitativo, basado en el análisis estadístico de datos </w:t>
      </w:r>
      <w:r w:rsidR="00886CC9" w:rsidRPr="00886CC9">
        <w:rPr>
          <w:rFonts w:ascii="Calibri" w:eastAsia="Aptos" w:hAnsi="Calibri" w:cs="Calibri"/>
          <w:kern w:val="0"/>
          <w:sz w:val="24"/>
          <w:szCs w:val="24"/>
          <w:shd w:val="clear" w:color="auto" w:fill="FFFFFF" w:themeFill="background1"/>
          <w14:ligatures w14:val="none"/>
        </w:rPr>
        <w:t xml:space="preserve">secundarios </w:t>
      </w:r>
      <w:r w:rsidR="008D7C77" w:rsidRPr="00886CC9">
        <w:rPr>
          <w:rFonts w:ascii="Calibri" w:eastAsia="Aptos" w:hAnsi="Calibri" w:cs="Calibri"/>
          <w:kern w:val="0"/>
          <w:sz w:val="24"/>
          <w:szCs w:val="24"/>
          <w:shd w:val="clear" w:color="auto" w:fill="FFFFFF" w:themeFill="background1"/>
          <w14:ligatures w14:val="none"/>
        </w:rPr>
        <w:t>y</w:t>
      </w:r>
      <w:r w:rsidRPr="00886CC9">
        <w:rPr>
          <w:rFonts w:ascii="Calibri" w:eastAsia="Aptos" w:hAnsi="Calibri" w:cs="Calibri"/>
          <w:kern w:val="0"/>
          <w:sz w:val="24"/>
          <w:szCs w:val="24"/>
          <w:shd w:val="clear" w:color="auto" w:fill="FFFFFF" w:themeFill="background1"/>
          <w14:ligatures w14:val="none"/>
        </w:rPr>
        <w:t xml:space="preserve"> la</w:t>
      </w:r>
      <w:r w:rsidRPr="00886CC9">
        <w:rPr>
          <w:rFonts w:ascii="Calibri" w:eastAsia="Aptos" w:hAnsi="Calibri" w:cs="Calibri"/>
          <w:kern w:val="0"/>
          <w:sz w:val="24"/>
          <w:szCs w:val="24"/>
          <w14:ligatures w14:val="none"/>
        </w:rPr>
        <w:t xml:space="preserve"> aplicación de modelos de regresión múltiple para identificar y explicar los</w:t>
      </w:r>
      <w:r w:rsidRPr="007B332C">
        <w:rPr>
          <w:rFonts w:ascii="Calibri" w:eastAsia="Aptos" w:hAnsi="Calibri" w:cs="Calibri"/>
          <w:kern w:val="0"/>
          <w:sz w:val="24"/>
          <w:szCs w:val="24"/>
          <w14:ligatures w14:val="none"/>
        </w:rPr>
        <w:t xml:space="preserve"> factores determinantes del flujo turístico en </w:t>
      </w:r>
      <w:r w:rsidR="00EF2A39">
        <w:rPr>
          <w:rFonts w:ascii="Calibri" w:eastAsia="Aptos" w:hAnsi="Calibri" w:cs="Calibri"/>
          <w:kern w:val="0"/>
          <w:sz w:val="24"/>
          <w:szCs w:val="24"/>
          <w14:ligatures w14:val="none"/>
        </w:rPr>
        <w:t>esta</w:t>
      </w:r>
      <w:r w:rsidR="007027F8" w:rsidRPr="007B332C">
        <w:rPr>
          <w:rFonts w:ascii="Calibri" w:eastAsia="Aptos" w:hAnsi="Calibri" w:cs="Calibri"/>
          <w:kern w:val="0"/>
          <w:sz w:val="24"/>
          <w:szCs w:val="24"/>
          <w14:ligatures w14:val="none"/>
        </w:rPr>
        <w:t xml:space="preserve"> ANP</w:t>
      </w:r>
      <w:r w:rsidRPr="007B332C">
        <w:rPr>
          <w:rFonts w:ascii="Calibri" w:eastAsia="Aptos" w:hAnsi="Calibri" w:cs="Calibri"/>
          <w:kern w:val="0"/>
          <w:sz w:val="24"/>
          <w:szCs w:val="24"/>
          <w14:ligatures w14:val="none"/>
        </w:rPr>
        <w:t xml:space="preserve"> durante el periodo 2009–2021.</w:t>
      </w:r>
      <w:r w:rsidR="00800D90" w:rsidRPr="007B332C">
        <w:rPr>
          <w:rFonts w:ascii="Calibri" w:eastAsia="Aptos" w:hAnsi="Calibri" w:cs="Calibri"/>
          <w:kern w:val="0"/>
          <w:sz w:val="24"/>
          <w:szCs w:val="24"/>
          <w14:ligatures w14:val="none"/>
        </w:rPr>
        <w:t xml:space="preserve"> En cuanto al ti</w:t>
      </w:r>
      <w:r w:rsidRPr="007B332C">
        <w:rPr>
          <w:rFonts w:ascii="Calibri" w:eastAsia="Aptos" w:hAnsi="Calibri" w:cs="Calibri"/>
          <w:kern w:val="0"/>
          <w:sz w:val="24"/>
          <w:szCs w:val="24"/>
          <w14:ligatures w14:val="none"/>
        </w:rPr>
        <w:t>po y diseño de investigación</w:t>
      </w:r>
      <w:r w:rsidR="00800D90" w:rsidRPr="007B332C">
        <w:rPr>
          <w:rFonts w:ascii="Calibri" w:eastAsia="Aptos" w:hAnsi="Calibri" w:cs="Calibri"/>
          <w:kern w:val="0"/>
          <w:sz w:val="24"/>
          <w:szCs w:val="24"/>
          <w14:ligatures w14:val="none"/>
        </w:rPr>
        <w:t xml:space="preserve"> es de </w:t>
      </w:r>
      <w:r w:rsidRPr="007B332C">
        <w:rPr>
          <w:rFonts w:ascii="Calibri" w:eastAsia="Aptos" w:hAnsi="Calibri" w:cs="Calibri"/>
          <w:kern w:val="0"/>
          <w:sz w:val="24"/>
          <w:szCs w:val="24"/>
          <w14:ligatures w14:val="none"/>
        </w:rPr>
        <w:t xml:space="preserve">corte explicativa, ya que busca identificar las causas que determinan el comportamiento del flujo turístico. Con diseño </w:t>
      </w:r>
      <w:r w:rsidR="00800D90" w:rsidRPr="007B332C">
        <w:rPr>
          <w:rFonts w:ascii="Calibri" w:eastAsia="Aptos" w:hAnsi="Calibri" w:cs="Calibri"/>
          <w:kern w:val="0"/>
          <w:sz w:val="24"/>
          <w:szCs w:val="24"/>
          <w14:ligatures w14:val="none"/>
        </w:rPr>
        <w:t>n</w:t>
      </w:r>
      <w:r w:rsidRPr="007B332C">
        <w:rPr>
          <w:rFonts w:ascii="Calibri" w:eastAsia="Aptos" w:hAnsi="Calibri" w:cs="Calibri"/>
          <w:kern w:val="0"/>
          <w:sz w:val="24"/>
          <w:szCs w:val="24"/>
          <w14:ligatures w14:val="none"/>
        </w:rPr>
        <w:t>o experimental y longitudinal.</w:t>
      </w:r>
    </w:p>
    <w:p w14:paraId="3C3557A5" w14:textId="051CF273" w:rsidR="00EA20D1" w:rsidRDefault="00EA20D1" w:rsidP="003D0615">
      <w:pPr>
        <w:spacing w:line="278" w:lineRule="auto"/>
        <w:ind w:firstLine="709"/>
        <w:jc w:val="both"/>
        <w:rPr>
          <w:rFonts w:ascii="Calibri" w:eastAsia="Aptos" w:hAnsi="Calibri" w:cs="Calibri"/>
          <w:kern w:val="0"/>
          <w:sz w:val="24"/>
          <w:szCs w:val="24"/>
          <w14:ligatures w14:val="none"/>
        </w:rPr>
      </w:pPr>
      <w:r w:rsidRPr="007B332C">
        <w:rPr>
          <w:rFonts w:ascii="Calibri" w:eastAsia="Aptos" w:hAnsi="Calibri" w:cs="Calibri"/>
          <w:kern w:val="0"/>
          <w:sz w:val="24"/>
          <w:szCs w:val="24"/>
          <w14:ligatures w14:val="none"/>
        </w:rPr>
        <w:lastRenderedPageBreak/>
        <w:t xml:space="preserve">Se empleó un método cuantitativo mediante la elaboración de contrastes de modelos de regresión lineal múltiple. La técnica empleada es Mínimos Cuadrados Ordinarios (MCO), utilizando el paquete estadístico STATA versión 15. La variable dependiente fue el número de visitantes registrados trimestralmente en el Museo y Centro de Visitantes </w:t>
      </w:r>
      <w:proofErr w:type="spellStart"/>
      <w:r w:rsidRPr="007B332C">
        <w:rPr>
          <w:rFonts w:ascii="Calibri" w:eastAsia="Aptos" w:hAnsi="Calibri" w:cs="Calibri"/>
          <w:kern w:val="0"/>
          <w:sz w:val="24"/>
          <w:szCs w:val="24"/>
          <w14:ligatures w14:val="none"/>
        </w:rPr>
        <w:t>Schuk</w:t>
      </w:r>
      <w:proofErr w:type="spellEnd"/>
      <w:r w:rsidRPr="007B332C">
        <w:rPr>
          <w:rFonts w:ascii="Calibri" w:eastAsia="Aptos" w:hAnsi="Calibri" w:cs="Calibri"/>
          <w:kern w:val="0"/>
          <w:sz w:val="24"/>
          <w:szCs w:val="24"/>
          <w14:ligatures w14:val="none"/>
        </w:rPr>
        <w:t xml:space="preserve"> </w:t>
      </w:r>
      <w:proofErr w:type="spellStart"/>
      <w:r w:rsidRPr="007B332C">
        <w:rPr>
          <w:rFonts w:ascii="Calibri" w:eastAsia="Aptos" w:hAnsi="Calibri" w:cs="Calibri"/>
          <w:kern w:val="0"/>
          <w:sz w:val="24"/>
          <w:szCs w:val="24"/>
          <w14:ligatures w14:val="none"/>
        </w:rPr>
        <w:t>Toak</w:t>
      </w:r>
      <w:proofErr w:type="spellEnd"/>
      <w:r w:rsidR="00800D90" w:rsidRPr="007B332C">
        <w:rPr>
          <w:rFonts w:ascii="Calibri" w:eastAsia="Aptos" w:hAnsi="Calibri" w:cs="Calibri"/>
          <w:kern w:val="0"/>
          <w:sz w:val="24"/>
          <w:szCs w:val="24"/>
          <w14:ligatures w14:val="none"/>
        </w:rPr>
        <w:t>, perteneciente a la RBPGDA.</w:t>
      </w:r>
    </w:p>
    <w:p w14:paraId="5DA1ABB1" w14:textId="088FB2E3" w:rsidR="00255330" w:rsidRPr="007B332C" w:rsidRDefault="00800D90" w:rsidP="003D0615">
      <w:pPr>
        <w:spacing w:line="278" w:lineRule="auto"/>
        <w:ind w:firstLine="709"/>
        <w:rPr>
          <w:rFonts w:ascii="Calibri" w:eastAsia="Aptos" w:hAnsi="Calibri" w:cs="Calibri"/>
          <w:b/>
          <w:bCs/>
          <w:kern w:val="0"/>
          <w:sz w:val="24"/>
          <w:szCs w:val="24"/>
          <w14:ligatures w14:val="none"/>
        </w:rPr>
      </w:pPr>
      <w:r w:rsidRPr="007B332C">
        <w:rPr>
          <w:rFonts w:ascii="Calibri" w:eastAsia="Aptos" w:hAnsi="Calibri" w:cs="Calibri"/>
          <w:b/>
          <w:bCs/>
          <w:kern w:val="0"/>
          <w:sz w:val="24"/>
          <w:szCs w:val="24"/>
          <w14:ligatures w14:val="none"/>
        </w:rPr>
        <w:t xml:space="preserve">2.2 Operacionalización de variables </w:t>
      </w:r>
    </w:p>
    <w:p w14:paraId="2E4201FC" w14:textId="4E7A6049" w:rsidR="00EA20D1" w:rsidRPr="007B332C" w:rsidRDefault="00EA20D1" w:rsidP="003D0615">
      <w:pPr>
        <w:spacing w:line="278" w:lineRule="auto"/>
        <w:ind w:firstLine="709"/>
        <w:jc w:val="both"/>
        <w:rPr>
          <w:rFonts w:ascii="Calibri" w:eastAsia="Aptos" w:hAnsi="Calibri" w:cs="Calibri"/>
          <w:kern w:val="0"/>
          <w:sz w:val="24"/>
          <w:szCs w:val="24"/>
          <w14:ligatures w14:val="none"/>
        </w:rPr>
      </w:pPr>
      <w:r w:rsidRPr="007B332C">
        <w:rPr>
          <w:rFonts w:ascii="Calibri" w:eastAsia="Aptos" w:hAnsi="Calibri" w:cs="Calibri"/>
          <w:kern w:val="0"/>
          <w:sz w:val="24"/>
          <w:szCs w:val="24"/>
          <w14:ligatures w14:val="none"/>
        </w:rPr>
        <w:t xml:space="preserve"> </w:t>
      </w:r>
      <w:r w:rsidR="00800D90" w:rsidRPr="007B332C">
        <w:rPr>
          <w:rFonts w:ascii="Calibri" w:eastAsia="Aptos" w:hAnsi="Calibri" w:cs="Calibri"/>
          <w:kern w:val="0"/>
          <w:sz w:val="24"/>
          <w:szCs w:val="24"/>
          <w14:ligatures w14:val="none"/>
        </w:rPr>
        <w:t>En la Tabla 1</w:t>
      </w:r>
      <w:r w:rsidRPr="007B332C">
        <w:rPr>
          <w:rFonts w:ascii="Calibri" w:eastAsia="Aptos" w:hAnsi="Calibri" w:cs="Calibri"/>
          <w:kern w:val="0"/>
          <w:sz w:val="24"/>
          <w:szCs w:val="24"/>
          <w14:ligatures w14:val="none"/>
        </w:rPr>
        <w:t xml:space="preserve"> se detalla la operacionalización de las variables incluidas en el modelo</w:t>
      </w:r>
      <w:r w:rsidR="00800D90" w:rsidRPr="007B332C">
        <w:rPr>
          <w:rFonts w:ascii="Calibri" w:eastAsia="Aptos" w:hAnsi="Calibri" w:cs="Calibri"/>
          <w:kern w:val="0"/>
          <w:sz w:val="24"/>
          <w:szCs w:val="24"/>
          <w14:ligatures w14:val="none"/>
        </w:rPr>
        <w:t xml:space="preserve"> </w:t>
      </w:r>
      <w:r w:rsidR="007B332C" w:rsidRPr="007B332C">
        <w:rPr>
          <w:rFonts w:ascii="Calibri" w:eastAsia="Aptos" w:hAnsi="Calibri" w:cs="Calibri"/>
          <w:kern w:val="0"/>
          <w:sz w:val="24"/>
          <w:szCs w:val="24"/>
          <w14:ligatures w14:val="none"/>
        </w:rPr>
        <w:t>econométrico, especificando</w:t>
      </w:r>
      <w:r w:rsidRPr="007B332C">
        <w:rPr>
          <w:rFonts w:ascii="Calibri" w:eastAsia="Aptos" w:hAnsi="Calibri" w:cs="Calibri"/>
          <w:kern w:val="0"/>
          <w:sz w:val="24"/>
          <w:szCs w:val="24"/>
          <w14:ligatures w14:val="none"/>
        </w:rPr>
        <w:t xml:space="preserve"> la unidad de medida de cada una para mayor claridad en el análisis:</w:t>
      </w:r>
    </w:p>
    <w:p w14:paraId="3C6E8F55" w14:textId="0AD1C0C2" w:rsidR="00800D90" w:rsidRPr="0063691F" w:rsidRDefault="00800D90" w:rsidP="003D0615">
      <w:pPr>
        <w:spacing w:line="278" w:lineRule="auto"/>
        <w:ind w:firstLine="709"/>
        <w:rPr>
          <w:rFonts w:ascii="Calibri" w:eastAsia="Aptos" w:hAnsi="Calibri" w:cs="Calibri"/>
          <w:b/>
          <w:bCs/>
          <w:kern w:val="0"/>
          <w:sz w:val="24"/>
          <w:szCs w:val="24"/>
          <w14:ligatures w14:val="none"/>
        </w:rPr>
      </w:pPr>
      <w:r w:rsidRPr="007B332C">
        <w:rPr>
          <w:rFonts w:ascii="Calibri" w:eastAsia="Aptos" w:hAnsi="Calibri" w:cs="Calibri"/>
          <w:b/>
          <w:bCs/>
          <w:kern w:val="0"/>
          <w:sz w:val="24"/>
          <w:szCs w:val="24"/>
          <w14:ligatures w14:val="none"/>
        </w:rPr>
        <w:t xml:space="preserve">Tabla 1. </w:t>
      </w:r>
      <w:r w:rsidRPr="007B332C">
        <w:rPr>
          <w:rFonts w:ascii="Calibri" w:eastAsia="Aptos" w:hAnsi="Calibri" w:cs="Calibri"/>
          <w:kern w:val="0"/>
          <w:sz w:val="24"/>
          <w:szCs w:val="24"/>
          <w14:ligatures w14:val="none"/>
        </w:rPr>
        <w:t>Operacionalización de variables</w:t>
      </w:r>
    </w:p>
    <w:tbl>
      <w:tblPr>
        <w:tblW w:w="8660" w:type="dxa"/>
        <w:tblCellMar>
          <w:left w:w="70" w:type="dxa"/>
          <w:right w:w="70" w:type="dxa"/>
        </w:tblCellMar>
        <w:tblLook w:val="04A0" w:firstRow="1" w:lastRow="0" w:firstColumn="1" w:lastColumn="0" w:noHBand="0" w:noVBand="1"/>
      </w:tblPr>
      <w:tblGrid>
        <w:gridCol w:w="2001"/>
        <w:gridCol w:w="2148"/>
        <w:gridCol w:w="2501"/>
        <w:gridCol w:w="2010"/>
      </w:tblGrid>
      <w:tr w:rsidR="008F0BDD" w:rsidRPr="000840CC" w14:paraId="428062A8" w14:textId="77777777" w:rsidTr="005E7F9D">
        <w:trPr>
          <w:trHeight w:val="170"/>
          <w:tblHeader/>
        </w:trPr>
        <w:tc>
          <w:tcPr>
            <w:tcW w:w="2140" w:type="dxa"/>
            <w:tcBorders>
              <w:top w:val="single" w:sz="8" w:space="0" w:color="auto"/>
              <w:left w:val="nil"/>
              <w:bottom w:val="single" w:sz="8" w:space="0" w:color="auto"/>
              <w:right w:val="nil"/>
            </w:tcBorders>
            <w:vAlign w:val="center"/>
            <w:hideMark/>
          </w:tcPr>
          <w:p w14:paraId="3D7C066A" w14:textId="77777777" w:rsidR="008F0BDD" w:rsidRPr="000840CC" w:rsidRDefault="008F0BDD"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r w:rsidRPr="000840CC">
              <w:rPr>
                <w:rFonts w:ascii="Calibri" w:eastAsia="Times New Roman" w:hAnsi="Calibri" w:cs="Calibri"/>
                <w:b/>
                <w:bCs/>
                <w:color w:val="000000"/>
                <w:kern w:val="0"/>
                <w:sz w:val="20"/>
                <w:szCs w:val="20"/>
                <w:lang w:val="en-US" w:eastAsia="es-MX"/>
                <w14:ligatures w14:val="none"/>
              </w:rPr>
              <w:t>Variable</w:t>
            </w:r>
          </w:p>
        </w:tc>
        <w:tc>
          <w:tcPr>
            <w:tcW w:w="2180" w:type="dxa"/>
            <w:tcBorders>
              <w:top w:val="single" w:sz="8" w:space="0" w:color="auto"/>
              <w:left w:val="nil"/>
              <w:bottom w:val="single" w:sz="8" w:space="0" w:color="auto"/>
              <w:right w:val="nil"/>
            </w:tcBorders>
            <w:vAlign w:val="center"/>
            <w:hideMark/>
          </w:tcPr>
          <w:p w14:paraId="5A0EE2B4" w14:textId="77777777" w:rsidR="008F0BDD" w:rsidRPr="000840CC" w:rsidRDefault="008F0BDD"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r w:rsidRPr="000840CC">
              <w:rPr>
                <w:rFonts w:ascii="Calibri" w:eastAsia="Times New Roman" w:hAnsi="Calibri" w:cs="Calibri"/>
                <w:b/>
                <w:bCs/>
                <w:color w:val="000000"/>
                <w:kern w:val="0"/>
                <w:sz w:val="20"/>
                <w:szCs w:val="20"/>
                <w:lang w:val="en-US" w:eastAsia="es-MX"/>
                <w14:ligatures w14:val="none"/>
              </w:rPr>
              <w:t>Tipo</w:t>
            </w:r>
          </w:p>
        </w:tc>
        <w:tc>
          <w:tcPr>
            <w:tcW w:w="2160" w:type="dxa"/>
            <w:tcBorders>
              <w:top w:val="single" w:sz="8" w:space="0" w:color="auto"/>
              <w:left w:val="nil"/>
              <w:bottom w:val="single" w:sz="8" w:space="0" w:color="auto"/>
              <w:right w:val="nil"/>
            </w:tcBorders>
            <w:vAlign w:val="center"/>
            <w:hideMark/>
          </w:tcPr>
          <w:p w14:paraId="081BF733" w14:textId="77777777" w:rsidR="008F0BDD" w:rsidRPr="000840CC" w:rsidRDefault="008F0BDD"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proofErr w:type="spellStart"/>
            <w:r w:rsidRPr="000840CC">
              <w:rPr>
                <w:rFonts w:ascii="Calibri" w:eastAsia="Times New Roman" w:hAnsi="Calibri" w:cs="Calibri"/>
                <w:b/>
                <w:bCs/>
                <w:color w:val="000000"/>
                <w:kern w:val="0"/>
                <w:sz w:val="20"/>
                <w:szCs w:val="20"/>
                <w:lang w:val="en-US" w:eastAsia="es-MX"/>
                <w14:ligatures w14:val="none"/>
              </w:rPr>
              <w:t>Descripción</w:t>
            </w:r>
            <w:proofErr w:type="spellEnd"/>
            <w:r w:rsidRPr="000840CC">
              <w:rPr>
                <w:rFonts w:ascii="Calibri" w:eastAsia="Times New Roman" w:hAnsi="Calibri" w:cs="Calibri"/>
                <w:b/>
                <w:bCs/>
                <w:color w:val="000000"/>
                <w:kern w:val="0"/>
                <w:sz w:val="20"/>
                <w:szCs w:val="20"/>
                <w:lang w:val="en-US" w:eastAsia="es-MX"/>
                <w14:ligatures w14:val="none"/>
              </w:rPr>
              <w:t xml:space="preserve">/Unidad de </w:t>
            </w:r>
            <w:proofErr w:type="spellStart"/>
            <w:r w:rsidRPr="000840CC">
              <w:rPr>
                <w:rFonts w:ascii="Calibri" w:eastAsia="Times New Roman" w:hAnsi="Calibri" w:cs="Calibri"/>
                <w:b/>
                <w:bCs/>
                <w:color w:val="000000"/>
                <w:kern w:val="0"/>
                <w:sz w:val="20"/>
                <w:szCs w:val="20"/>
                <w:lang w:val="en-US" w:eastAsia="es-MX"/>
                <w14:ligatures w14:val="none"/>
              </w:rPr>
              <w:t>Medida</w:t>
            </w:r>
            <w:proofErr w:type="spellEnd"/>
          </w:p>
        </w:tc>
        <w:tc>
          <w:tcPr>
            <w:tcW w:w="2180" w:type="dxa"/>
            <w:tcBorders>
              <w:top w:val="single" w:sz="8" w:space="0" w:color="auto"/>
              <w:left w:val="nil"/>
              <w:bottom w:val="single" w:sz="8" w:space="0" w:color="auto"/>
              <w:right w:val="nil"/>
            </w:tcBorders>
            <w:vAlign w:val="center"/>
            <w:hideMark/>
          </w:tcPr>
          <w:p w14:paraId="33E710E8" w14:textId="77777777" w:rsidR="008F0BDD" w:rsidRPr="000840CC" w:rsidRDefault="008F0BDD"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r w:rsidRPr="000840CC">
              <w:rPr>
                <w:rFonts w:ascii="Calibri" w:eastAsia="Times New Roman" w:hAnsi="Calibri" w:cs="Calibri"/>
                <w:b/>
                <w:bCs/>
                <w:color w:val="000000"/>
                <w:kern w:val="0"/>
                <w:sz w:val="20"/>
                <w:szCs w:val="20"/>
                <w:lang w:val="en-US" w:eastAsia="es-MX"/>
                <w14:ligatures w14:val="none"/>
              </w:rPr>
              <w:t xml:space="preserve">Fuente de </w:t>
            </w:r>
            <w:proofErr w:type="spellStart"/>
            <w:r w:rsidRPr="000840CC">
              <w:rPr>
                <w:rFonts w:ascii="Calibri" w:eastAsia="Times New Roman" w:hAnsi="Calibri" w:cs="Calibri"/>
                <w:b/>
                <w:bCs/>
                <w:color w:val="000000"/>
                <w:kern w:val="0"/>
                <w:sz w:val="20"/>
                <w:szCs w:val="20"/>
                <w:lang w:val="en-US" w:eastAsia="es-MX"/>
                <w14:ligatures w14:val="none"/>
              </w:rPr>
              <w:t>datos</w:t>
            </w:r>
            <w:proofErr w:type="spellEnd"/>
          </w:p>
        </w:tc>
      </w:tr>
      <w:tr w:rsidR="008F0BDD" w:rsidRPr="000840CC" w14:paraId="3214AF05" w14:textId="77777777" w:rsidTr="005E7F9D">
        <w:trPr>
          <w:trHeight w:val="170"/>
        </w:trPr>
        <w:tc>
          <w:tcPr>
            <w:tcW w:w="2140" w:type="dxa"/>
            <w:tcBorders>
              <w:top w:val="nil"/>
              <w:left w:val="nil"/>
              <w:bottom w:val="nil"/>
              <w:right w:val="nil"/>
            </w:tcBorders>
            <w:vAlign w:val="center"/>
            <w:hideMark/>
          </w:tcPr>
          <w:p w14:paraId="5255A0B8"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proofErr w:type="spellStart"/>
            <w:r w:rsidRPr="000840CC">
              <w:rPr>
                <w:rFonts w:ascii="Calibri" w:eastAsia="Times New Roman" w:hAnsi="Calibri" w:cs="Calibri"/>
                <w:color w:val="000000"/>
                <w:kern w:val="0"/>
                <w:sz w:val="20"/>
                <w:szCs w:val="20"/>
                <w:lang w:val="en-US" w:eastAsia="es-MX"/>
                <w14:ligatures w14:val="none"/>
              </w:rPr>
              <w:t>Número</w:t>
            </w:r>
            <w:proofErr w:type="spellEnd"/>
            <w:r w:rsidRPr="000840CC">
              <w:rPr>
                <w:rFonts w:ascii="Calibri" w:eastAsia="Times New Roman" w:hAnsi="Calibri" w:cs="Calibri"/>
                <w:color w:val="000000"/>
                <w:kern w:val="0"/>
                <w:sz w:val="20"/>
                <w:szCs w:val="20"/>
                <w:lang w:val="en-US" w:eastAsia="es-MX"/>
                <w14:ligatures w14:val="none"/>
              </w:rPr>
              <w:t xml:space="preserve"> de </w:t>
            </w:r>
            <w:proofErr w:type="spellStart"/>
            <w:r w:rsidRPr="000840CC">
              <w:rPr>
                <w:rFonts w:ascii="Calibri" w:eastAsia="Times New Roman" w:hAnsi="Calibri" w:cs="Calibri"/>
                <w:color w:val="000000"/>
                <w:kern w:val="0"/>
                <w:sz w:val="20"/>
                <w:szCs w:val="20"/>
                <w:lang w:val="en-US" w:eastAsia="es-MX"/>
                <w14:ligatures w14:val="none"/>
              </w:rPr>
              <w:t>visitantes</w:t>
            </w:r>
            <w:proofErr w:type="spellEnd"/>
            <w:r w:rsidRPr="000840CC">
              <w:rPr>
                <w:rFonts w:ascii="Calibri" w:eastAsia="Times New Roman" w:hAnsi="Calibri" w:cs="Calibri"/>
                <w:color w:val="000000"/>
                <w:kern w:val="0"/>
                <w:sz w:val="20"/>
                <w:szCs w:val="20"/>
                <w:lang w:val="en-US" w:eastAsia="es-MX"/>
                <w14:ligatures w14:val="none"/>
              </w:rPr>
              <w:t xml:space="preserve"> (Y)</w:t>
            </w:r>
          </w:p>
        </w:tc>
        <w:tc>
          <w:tcPr>
            <w:tcW w:w="2180" w:type="dxa"/>
            <w:tcBorders>
              <w:top w:val="nil"/>
              <w:left w:val="nil"/>
              <w:bottom w:val="nil"/>
              <w:right w:val="nil"/>
            </w:tcBorders>
            <w:vAlign w:val="center"/>
            <w:hideMark/>
          </w:tcPr>
          <w:p w14:paraId="3A039CF1"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proofErr w:type="spellStart"/>
            <w:r w:rsidRPr="000840CC">
              <w:rPr>
                <w:rFonts w:ascii="Calibri" w:eastAsia="Times New Roman" w:hAnsi="Calibri" w:cs="Calibri"/>
                <w:color w:val="000000"/>
                <w:kern w:val="0"/>
                <w:sz w:val="20"/>
                <w:szCs w:val="20"/>
                <w:lang w:val="en-US" w:eastAsia="es-MX"/>
                <w14:ligatures w14:val="none"/>
              </w:rPr>
              <w:t>Dependiente</w:t>
            </w:r>
            <w:proofErr w:type="spellEnd"/>
          </w:p>
        </w:tc>
        <w:tc>
          <w:tcPr>
            <w:tcW w:w="2160" w:type="dxa"/>
            <w:tcBorders>
              <w:top w:val="nil"/>
              <w:left w:val="nil"/>
              <w:bottom w:val="nil"/>
              <w:right w:val="nil"/>
            </w:tcBorders>
            <w:vAlign w:val="center"/>
            <w:hideMark/>
          </w:tcPr>
          <w:p w14:paraId="37A8AB2F" w14:textId="629F77E1" w:rsidR="008F0BDD" w:rsidRPr="000840CC" w:rsidRDefault="008F0BDD" w:rsidP="003D0615">
            <w:pPr>
              <w:spacing w:after="0" w:line="240" w:lineRule="auto"/>
              <w:jc w:val="center"/>
              <w:rPr>
                <w:rFonts w:ascii="Calibri" w:eastAsia="Times New Roman" w:hAnsi="Calibri" w:cs="Calibri"/>
                <w:color w:val="000000"/>
                <w:kern w:val="0"/>
                <w:sz w:val="20"/>
                <w:szCs w:val="20"/>
                <w:lang w:val="pt-BR" w:eastAsia="es-MX"/>
                <w14:ligatures w14:val="none"/>
              </w:rPr>
            </w:pPr>
            <w:r w:rsidRPr="000840CC">
              <w:rPr>
                <w:rFonts w:ascii="Calibri" w:eastAsia="Times New Roman" w:hAnsi="Calibri" w:cs="Calibri"/>
                <w:color w:val="000000"/>
                <w:kern w:val="0"/>
                <w:sz w:val="20"/>
                <w:szCs w:val="20"/>
                <w:lang w:val="pt-BR" w:eastAsia="es-MX"/>
                <w14:ligatures w14:val="none"/>
              </w:rPr>
              <w:t>Número de visitantes por trimestre</w:t>
            </w:r>
          </w:p>
        </w:tc>
        <w:tc>
          <w:tcPr>
            <w:tcW w:w="2180" w:type="dxa"/>
            <w:tcBorders>
              <w:top w:val="nil"/>
              <w:left w:val="nil"/>
              <w:bottom w:val="nil"/>
              <w:right w:val="nil"/>
            </w:tcBorders>
            <w:vAlign w:val="center"/>
            <w:hideMark/>
          </w:tcPr>
          <w:p w14:paraId="5CBBF78C"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eastAsia="es-MX"/>
                <w14:ligatures w14:val="none"/>
              </w:rPr>
              <w:t>Base de datos de la RBPGDA</w:t>
            </w:r>
          </w:p>
        </w:tc>
      </w:tr>
      <w:tr w:rsidR="008F0BDD" w:rsidRPr="000840CC" w14:paraId="298FB09D" w14:textId="77777777" w:rsidTr="005E7F9D">
        <w:trPr>
          <w:trHeight w:val="170"/>
        </w:trPr>
        <w:tc>
          <w:tcPr>
            <w:tcW w:w="2140" w:type="dxa"/>
            <w:tcBorders>
              <w:top w:val="nil"/>
              <w:left w:val="nil"/>
              <w:bottom w:val="nil"/>
              <w:right w:val="nil"/>
            </w:tcBorders>
            <w:vAlign w:val="center"/>
            <w:hideMark/>
          </w:tcPr>
          <w:p w14:paraId="5E8B21A4"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 xml:space="preserve">Riesgo </w:t>
            </w:r>
            <w:proofErr w:type="spellStart"/>
            <w:r w:rsidRPr="000840CC">
              <w:rPr>
                <w:rFonts w:ascii="Calibri" w:eastAsia="Times New Roman" w:hAnsi="Calibri" w:cs="Calibri"/>
                <w:color w:val="000000"/>
                <w:kern w:val="0"/>
                <w:sz w:val="20"/>
                <w:szCs w:val="20"/>
                <w:lang w:val="en-US" w:eastAsia="es-MX"/>
                <w14:ligatures w14:val="none"/>
              </w:rPr>
              <w:t>por</w:t>
            </w:r>
            <w:proofErr w:type="spellEnd"/>
            <w:r w:rsidRPr="000840CC">
              <w:rPr>
                <w:rFonts w:ascii="Calibri" w:eastAsia="Times New Roman" w:hAnsi="Calibri" w:cs="Calibri"/>
                <w:color w:val="000000"/>
                <w:kern w:val="0"/>
                <w:sz w:val="20"/>
                <w:szCs w:val="20"/>
                <w:lang w:val="en-US" w:eastAsia="es-MX"/>
                <w14:ligatures w14:val="none"/>
              </w:rPr>
              <w:t xml:space="preserve"> </w:t>
            </w:r>
            <w:proofErr w:type="spellStart"/>
            <w:r w:rsidRPr="000840CC">
              <w:rPr>
                <w:rFonts w:ascii="Calibri" w:eastAsia="Times New Roman" w:hAnsi="Calibri" w:cs="Calibri"/>
                <w:color w:val="000000"/>
                <w:kern w:val="0"/>
                <w:sz w:val="20"/>
                <w:szCs w:val="20"/>
                <w:lang w:val="en-US" w:eastAsia="es-MX"/>
                <w14:ligatures w14:val="none"/>
              </w:rPr>
              <w:t>salud</w:t>
            </w:r>
            <w:proofErr w:type="spellEnd"/>
            <w:r w:rsidRPr="000840CC">
              <w:rPr>
                <w:rFonts w:ascii="Calibri" w:eastAsia="Times New Roman" w:hAnsi="Calibri" w:cs="Calibri"/>
                <w:color w:val="000000"/>
                <w:kern w:val="0"/>
                <w:sz w:val="20"/>
                <w:szCs w:val="20"/>
                <w:lang w:val="en-US" w:eastAsia="es-MX"/>
                <w14:ligatures w14:val="none"/>
              </w:rPr>
              <w:t xml:space="preserve"> (COVID)</w:t>
            </w:r>
          </w:p>
        </w:tc>
        <w:tc>
          <w:tcPr>
            <w:tcW w:w="2180" w:type="dxa"/>
            <w:tcBorders>
              <w:top w:val="nil"/>
              <w:left w:val="nil"/>
              <w:bottom w:val="nil"/>
              <w:right w:val="nil"/>
            </w:tcBorders>
            <w:vAlign w:val="center"/>
            <w:hideMark/>
          </w:tcPr>
          <w:p w14:paraId="1A966DB7"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Independiente</w:t>
            </w:r>
          </w:p>
        </w:tc>
        <w:tc>
          <w:tcPr>
            <w:tcW w:w="2160" w:type="dxa"/>
            <w:tcBorders>
              <w:top w:val="nil"/>
              <w:left w:val="nil"/>
              <w:bottom w:val="nil"/>
              <w:right w:val="nil"/>
            </w:tcBorders>
            <w:vAlign w:val="center"/>
            <w:hideMark/>
          </w:tcPr>
          <w:p w14:paraId="17FBD6DB" w14:textId="08868EE1" w:rsidR="008F0BDD" w:rsidRPr="000840CC" w:rsidRDefault="008F0BDD" w:rsidP="003D0615">
            <w:pPr>
              <w:spacing w:after="0" w:line="240" w:lineRule="auto"/>
              <w:rPr>
                <w:rFonts w:ascii="Calibri" w:eastAsia="Times New Roman" w:hAnsi="Calibri" w:cs="Calibri"/>
                <w:color w:val="000000"/>
                <w:kern w:val="0"/>
                <w:sz w:val="20"/>
                <w:szCs w:val="20"/>
                <w:lang w:val="pt-BR" w:eastAsia="es-MX"/>
                <w14:ligatures w14:val="none"/>
              </w:rPr>
            </w:pPr>
            <w:r w:rsidRPr="000840CC">
              <w:rPr>
                <w:rFonts w:ascii="Calibri" w:eastAsia="Times New Roman" w:hAnsi="Calibri" w:cs="Calibri"/>
                <w:color w:val="000000"/>
                <w:kern w:val="0"/>
                <w:sz w:val="20"/>
                <w:szCs w:val="20"/>
                <w:lang w:val="pt-BR" w:eastAsia="es-MX"/>
                <w14:ligatures w14:val="none"/>
              </w:rPr>
              <w:t xml:space="preserve">   0 = </w:t>
            </w:r>
            <w:proofErr w:type="spellStart"/>
            <w:r w:rsidRPr="000840CC">
              <w:rPr>
                <w:rFonts w:ascii="Calibri" w:eastAsia="Times New Roman" w:hAnsi="Calibri" w:cs="Calibri"/>
                <w:color w:val="000000"/>
                <w:kern w:val="0"/>
                <w:sz w:val="20"/>
                <w:szCs w:val="20"/>
                <w:lang w:val="pt-BR" w:eastAsia="es-MX"/>
                <w14:ligatures w14:val="none"/>
              </w:rPr>
              <w:t>ausencia</w:t>
            </w:r>
            <w:proofErr w:type="spellEnd"/>
            <w:r w:rsidRPr="000840CC">
              <w:rPr>
                <w:rFonts w:ascii="Calibri" w:eastAsia="Times New Roman" w:hAnsi="Calibri" w:cs="Calibri"/>
                <w:color w:val="000000"/>
                <w:kern w:val="0"/>
                <w:sz w:val="20"/>
                <w:szCs w:val="20"/>
                <w:lang w:val="pt-BR" w:eastAsia="es-MX"/>
                <w14:ligatures w14:val="none"/>
              </w:rPr>
              <w:t xml:space="preserve"> de COVID, 1 = presencia de COVID </w:t>
            </w:r>
          </w:p>
        </w:tc>
        <w:tc>
          <w:tcPr>
            <w:tcW w:w="2180" w:type="dxa"/>
            <w:tcBorders>
              <w:top w:val="nil"/>
              <w:left w:val="nil"/>
              <w:bottom w:val="nil"/>
              <w:right w:val="nil"/>
            </w:tcBorders>
            <w:vAlign w:val="center"/>
            <w:hideMark/>
          </w:tcPr>
          <w:p w14:paraId="336E4D13"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proofErr w:type="spellStart"/>
            <w:r w:rsidRPr="000840CC">
              <w:rPr>
                <w:rFonts w:ascii="Calibri" w:eastAsia="Times New Roman" w:hAnsi="Calibri" w:cs="Calibri"/>
                <w:color w:val="000000"/>
                <w:kern w:val="0"/>
                <w:sz w:val="20"/>
                <w:szCs w:val="20"/>
                <w:lang w:val="en-US" w:eastAsia="es-MX"/>
                <w14:ligatures w14:val="none"/>
              </w:rPr>
              <w:t>Registros</w:t>
            </w:r>
            <w:proofErr w:type="spellEnd"/>
            <w:r w:rsidRPr="000840CC">
              <w:rPr>
                <w:rFonts w:ascii="Calibri" w:eastAsia="Times New Roman" w:hAnsi="Calibri" w:cs="Calibri"/>
                <w:color w:val="000000"/>
                <w:kern w:val="0"/>
                <w:sz w:val="20"/>
                <w:szCs w:val="20"/>
                <w:lang w:val="en-US" w:eastAsia="es-MX"/>
                <w14:ligatures w14:val="none"/>
              </w:rPr>
              <w:t xml:space="preserve"> </w:t>
            </w:r>
            <w:proofErr w:type="spellStart"/>
            <w:r w:rsidRPr="000840CC">
              <w:rPr>
                <w:rFonts w:ascii="Calibri" w:eastAsia="Times New Roman" w:hAnsi="Calibri" w:cs="Calibri"/>
                <w:color w:val="000000"/>
                <w:kern w:val="0"/>
                <w:sz w:val="20"/>
                <w:szCs w:val="20"/>
                <w:lang w:val="en-US" w:eastAsia="es-MX"/>
                <w14:ligatures w14:val="none"/>
              </w:rPr>
              <w:t>internos</w:t>
            </w:r>
            <w:proofErr w:type="spellEnd"/>
            <w:r w:rsidRPr="000840CC">
              <w:rPr>
                <w:rFonts w:ascii="Calibri" w:eastAsia="Times New Roman" w:hAnsi="Calibri" w:cs="Calibri"/>
                <w:color w:val="000000"/>
                <w:kern w:val="0"/>
                <w:sz w:val="20"/>
                <w:szCs w:val="20"/>
                <w:lang w:val="en-US" w:eastAsia="es-MX"/>
                <w14:ligatures w14:val="none"/>
              </w:rPr>
              <w:t xml:space="preserve"> del ANP</w:t>
            </w:r>
          </w:p>
        </w:tc>
      </w:tr>
      <w:tr w:rsidR="008F0BDD" w:rsidRPr="000840CC" w14:paraId="349878D3" w14:textId="77777777" w:rsidTr="005E7F9D">
        <w:trPr>
          <w:trHeight w:val="170"/>
        </w:trPr>
        <w:tc>
          <w:tcPr>
            <w:tcW w:w="2140" w:type="dxa"/>
            <w:tcBorders>
              <w:top w:val="nil"/>
              <w:left w:val="nil"/>
              <w:bottom w:val="nil"/>
              <w:right w:val="nil"/>
            </w:tcBorders>
            <w:vAlign w:val="center"/>
            <w:hideMark/>
          </w:tcPr>
          <w:p w14:paraId="0877414B"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 xml:space="preserve">PIB </w:t>
            </w:r>
            <w:proofErr w:type="spellStart"/>
            <w:r w:rsidRPr="000840CC">
              <w:rPr>
                <w:rFonts w:ascii="Calibri" w:eastAsia="Times New Roman" w:hAnsi="Calibri" w:cs="Calibri"/>
                <w:color w:val="000000"/>
                <w:kern w:val="0"/>
                <w:sz w:val="20"/>
                <w:szCs w:val="20"/>
                <w:lang w:val="en-US" w:eastAsia="es-MX"/>
                <w14:ligatures w14:val="none"/>
              </w:rPr>
              <w:t>turístico</w:t>
            </w:r>
            <w:proofErr w:type="spellEnd"/>
          </w:p>
        </w:tc>
        <w:tc>
          <w:tcPr>
            <w:tcW w:w="2180" w:type="dxa"/>
            <w:tcBorders>
              <w:top w:val="nil"/>
              <w:left w:val="nil"/>
              <w:bottom w:val="nil"/>
              <w:right w:val="nil"/>
            </w:tcBorders>
            <w:vAlign w:val="center"/>
            <w:hideMark/>
          </w:tcPr>
          <w:p w14:paraId="62108DF2"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Independiente</w:t>
            </w:r>
          </w:p>
        </w:tc>
        <w:tc>
          <w:tcPr>
            <w:tcW w:w="2160" w:type="dxa"/>
            <w:tcBorders>
              <w:top w:val="nil"/>
              <w:left w:val="nil"/>
              <w:bottom w:val="nil"/>
              <w:right w:val="nil"/>
            </w:tcBorders>
            <w:vAlign w:val="center"/>
            <w:hideMark/>
          </w:tcPr>
          <w:p w14:paraId="3022637E" w14:textId="201A138E"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eastAsia="es-MX"/>
                <w14:ligatures w14:val="none"/>
              </w:rPr>
              <w:t xml:space="preserve">Millones de </w:t>
            </w:r>
            <w:r w:rsidR="006D2184" w:rsidRPr="000840CC">
              <w:rPr>
                <w:rFonts w:ascii="Calibri" w:eastAsia="Times New Roman" w:hAnsi="Calibri" w:cs="Calibri"/>
                <w:color w:val="000000"/>
                <w:kern w:val="0"/>
                <w:sz w:val="20"/>
                <w:szCs w:val="20"/>
                <w:lang w:eastAsia="es-MX"/>
                <w14:ligatures w14:val="none"/>
              </w:rPr>
              <w:t>dólares estadounidenses</w:t>
            </w:r>
            <w:r w:rsidRPr="000840CC">
              <w:rPr>
                <w:rFonts w:ascii="Calibri" w:eastAsia="Times New Roman" w:hAnsi="Calibri" w:cs="Calibri"/>
                <w:color w:val="000000"/>
                <w:kern w:val="0"/>
                <w:sz w:val="20"/>
                <w:szCs w:val="20"/>
                <w:lang w:eastAsia="es-MX"/>
                <w14:ligatures w14:val="none"/>
              </w:rPr>
              <w:t xml:space="preserve"> a precios constantes, por trimestre</w:t>
            </w:r>
          </w:p>
        </w:tc>
        <w:tc>
          <w:tcPr>
            <w:tcW w:w="2180" w:type="dxa"/>
            <w:tcBorders>
              <w:top w:val="nil"/>
              <w:left w:val="nil"/>
              <w:bottom w:val="nil"/>
              <w:right w:val="nil"/>
            </w:tcBorders>
            <w:vAlign w:val="center"/>
            <w:hideMark/>
          </w:tcPr>
          <w:p w14:paraId="324FA5CD" w14:textId="40349A90"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proofErr w:type="gramStart"/>
            <w:r w:rsidRPr="000840CC">
              <w:rPr>
                <w:rFonts w:ascii="Calibri" w:eastAsia="Times New Roman" w:hAnsi="Calibri" w:cs="Calibri"/>
                <w:color w:val="000000"/>
                <w:kern w:val="0"/>
                <w:sz w:val="20"/>
                <w:szCs w:val="20"/>
                <w:lang w:val="en-US" w:eastAsia="es-MX"/>
                <w14:ligatures w14:val="none"/>
              </w:rPr>
              <w:t>INEGI</w:t>
            </w:r>
            <w:r w:rsidR="002A1D44">
              <w:rPr>
                <w:rFonts w:ascii="Calibri" w:eastAsia="Times New Roman" w:hAnsi="Calibri" w:cs="Calibri"/>
                <w:color w:val="000000"/>
                <w:kern w:val="0"/>
                <w:sz w:val="20"/>
                <w:szCs w:val="20"/>
                <w:lang w:val="en-US" w:eastAsia="es-MX"/>
                <w14:ligatures w14:val="none"/>
              </w:rPr>
              <w:t>(</w:t>
            </w:r>
            <w:proofErr w:type="gramEnd"/>
            <w:r w:rsidR="002A1D44" w:rsidRPr="002A1D44">
              <w:rPr>
                <w:rFonts w:ascii="Calibri" w:eastAsia="Times New Roman" w:hAnsi="Calibri" w:cs="Calibri"/>
                <w:color w:val="C00000"/>
                <w:kern w:val="0"/>
                <w:sz w:val="20"/>
                <w:szCs w:val="20"/>
                <w:lang w:val="en-US" w:eastAsia="es-MX"/>
                <w14:ligatures w14:val="none"/>
              </w:rPr>
              <w:t>2021</w:t>
            </w:r>
            <w:r w:rsidR="00B766FC">
              <w:rPr>
                <w:rFonts w:ascii="Calibri" w:eastAsia="Times New Roman" w:hAnsi="Calibri" w:cs="Calibri"/>
                <w:color w:val="C00000"/>
                <w:kern w:val="0"/>
                <w:sz w:val="20"/>
                <w:szCs w:val="20"/>
                <w:lang w:val="en-US" w:eastAsia="es-MX"/>
                <w14:ligatures w14:val="none"/>
              </w:rPr>
              <w:t>b</w:t>
            </w:r>
            <w:r w:rsidR="002A1D44">
              <w:rPr>
                <w:rFonts w:ascii="Calibri" w:eastAsia="Times New Roman" w:hAnsi="Calibri" w:cs="Calibri"/>
                <w:color w:val="000000"/>
                <w:kern w:val="0"/>
                <w:sz w:val="20"/>
                <w:szCs w:val="20"/>
                <w:lang w:val="en-US" w:eastAsia="es-MX"/>
                <w14:ligatures w14:val="none"/>
              </w:rPr>
              <w:t>)</w:t>
            </w:r>
          </w:p>
        </w:tc>
      </w:tr>
      <w:tr w:rsidR="008F0BDD" w:rsidRPr="000840CC" w14:paraId="076FAF2B" w14:textId="77777777" w:rsidTr="005E7F9D">
        <w:trPr>
          <w:trHeight w:val="170"/>
        </w:trPr>
        <w:tc>
          <w:tcPr>
            <w:tcW w:w="2140" w:type="dxa"/>
            <w:tcBorders>
              <w:top w:val="nil"/>
              <w:left w:val="nil"/>
              <w:bottom w:val="nil"/>
              <w:right w:val="nil"/>
            </w:tcBorders>
            <w:vAlign w:val="center"/>
            <w:hideMark/>
          </w:tcPr>
          <w:p w14:paraId="585FF7D7"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proofErr w:type="spellStart"/>
            <w:r w:rsidRPr="000840CC">
              <w:rPr>
                <w:rFonts w:ascii="Calibri" w:eastAsia="Times New Roman" w:hAnsi="Calibri" w:cs="Calibri"/>
                <w:color w:val="000000"/>
                <w:kern w:val="0"/>
                <w:sz w:val="20"/>
                <w:szCs w:val="20"/>
                <w:lang w:val="en-US" w:eastAsia="es-MX"/>
                <w14:ligatures w14:val="none"/>
              </w:rPr>
              <w:t>Índice</w:t>
            </w:r>
            <w:proofErr w:type="spellEnd"/>
            <w:r w:rsidRPr="000840CC">
              <w:rPr>
                <w:rFonts w:ascii="Calibri" w:eastAsia="Times New Roman" w:hAnsi="Calibri" w:cs="Calibri"/>
                <w:color w:val="000000"/>
                <w:kern w:val="0"/>
                <w:sz w:val="20"/>
                <w:szCs w:val="20"/>
                <w:lang w:val="en-US" w:eastAsia="es-MX"/>
                <w14:ligatures w14:val="none"/>
              </w:rPr>
              <w:t xml:space="preserve"> </w:t>
            </w:r>
            <w:proofErr w:type="spellStart"/>
            <w:r w:rsidRPr="000840CC">
              <w:rPr>
                <w:rFonts w:ascii="Calibri" w:eastAsia="Times New Roman" w:hAnsi="Calibri" w:cs="Calibri"/>
                <w:color w:val="000000"/>
                <w:kern w:val="0"/>
                <w:sz w:val="20"/>
                <w:szCs w:val="20"/>
                <w:lang w:val="en-US" w:eastAsia="es-MX"/>
                <w14:ligatures w14:val="none"/>
              </w:rPr>
              <w:t>riesgo</w:t>
            </w:r>
            <w:proofErr w:type="spellEnd"/>
            <w:r w:rsidRPr="000840CC">
              <w:rPr>
                <w:rFonts w:ascii="Calibri" w:eastAsia="Times New Roman" w:hAnsi="Calibri" w:cs="Calibri"/>
                <w:color w:val="000000"/>
                <w:kern w:val="0"/>
                <w:sz w:val="20"/>
                <w:szCs w:val="20"/>
                <w:lang w:val="en-US" w:eastAsia="es-MX"/>
                <w14:ligatures w14:val="none"/>
              </w:rPr>
              <w:t xml:space="preserve"> </w:t>
            </w:r>
            <w:proofErr w:type="spellStart"/>
            <w:r w:rsidRPr="000840CC">
              <w:rPr>
                <w:rFonts w:ascii="Calibri" w:eastAsia="Times New Roman" w:hAnsi="Calibri" w:cs="Calibri"/>
                <w:color w:val="000000"/>
                <w:kern w:val="0"/>
                <w:sz w:val="20"/>
                <w:szCs w:val="20"/>
                <w:lang w:val="en-US" w:eastAsia="es-MX"/>
                <w14:ligatures w14:val="none"/>
              </w:rPr>
              <w:t>país</w:t>
            </w:r>
            <w:proofErr w:type="spellEnd"/>
          </w:p>
        </w:tc>
        <w:tc>
          <w:tcPr>
            <w:tcW w:w="2180" w:type="dxa"/>
            <w:tcBorders>
              <w:top w:val="nil"/>
              <w:left w:val="nil"/>
              <w:bottom w:val="nil"/>
              <w:right w:val="nil"/>
            </w:tcBorders>
            <w:vAlign w:val="center"/>
            <w:hideMark/>
          </w:tcPr>
          <w:p w14:paraId="74B3CDFE"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Independiente</w:t>
            </w:r>
          </w:p>
        </w:tc>
        <w:tc>
          <w:tcPr>
            <w:tcW w:w="2160" w:type="dxa"/>
            <w:tcBorders>
              <w:top w:val="nil"/>
              <w:left w:val="nil"/>
              <w:bottom w:val="nil"/>
              <w:right w:val="nil"/>
            </w:tcBorders>
            <w:vAlign w:val="center"/>
            <w:hideMark/>
          </w:tcPr>
          <w:p w14:paraId="30F26FC7"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eastAsia="es-MX"/>
                <w14:ligatures w14:val="none"/>
              </w:rPr>
              <w:t>Índice numérico (escala JP Morgan)</w:t>
            </w:r>
          </w:p>
        </w:tc>
        <w:tc>
          <w:tcPr>
            <w:tcW w:w="2180" w:type="dxa"/>
            <w:tcBorders>
              <w:top w:val="nil"/>
              <w:left w:val="nil"/>
              <w:bottom w:val="nil"/>
              <w:right w:val="nil"/>
            </w:tcBorders>
            <w:vAlign w:val="center"/>
            <w:hideMark/>
          </w:tcPr>
          <w:p w14:paraId="5FB6EB59"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JP Morgan</w:t>
            </w:r>
          </w:p>
        </w:tc>
      </w:tr>
      <w:tr w:rsidR="008F0BDD" w:rsidRPr="000840CC" w14:paraId="6B4169C9" w14:textId="77777777" w:rsidTr="005E7F9D">
        <w:trPr>
          <w:trHeight w:val="170"/>
        </w:trPr>
        <w:tc>
          <w:tcPr>
            <w:tcW w:w="2140" w:type="dxa"/>
            <w:tcBorders>
              <w:top w:val="nil"/>
              <w:left w:val="nil"/>
              <w:bottom w:val="nil"/>
              <w:right w:val="nil"/>
            </w:tcBorders>
            <w:vAlign w:val="center"/>
            <w:hideMark/>
          </w:tcPr>
          <w:p w14:paraId="629FC56F" w14:textId="32219DFB"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eastAsia="es-MX"/>
                <w14:ligatures w14:val="none"/>
              </w:rPr>
              <w:t xml:space="preserve">Patrimonio </w:t>
            </w:r>
            <w:r w:rsidR="00DC467E" w:rsidRPr="000840CC">
              <w:rPr>
                <w:rFonts w:ascii="Calibri" w:eastAsia="Times New Roman" w:hAnsi="Calibri" w:cs="Calibri"/>
                <w:color w:val="000000"/>
                <w:kern w:val="0"/>
                <w:sz w:val="20"/>
                <w:szCs w:val="20"/>
                <w:lang w:eastAsia="es-MX"/>
                <w14:ligatures w14:val="none"/>
              </w:rPr>
              <w:t>m</w:t>
            </w:r>
            <w:r w:rsidRPr="000840CC">
              <w:rPr>
                <w:rFonts w:ascii="Calibri" w:eastAsia="Times New Roman" w:hAnsi="Calibri" w:cs="Calibri"/>
                <w:color w:val="000000"/>
                <w:kern w:val="0"/>
                <w:sz w:val="20"/>
                <w:szCs w:val="20"/>
                <w:lang w:eastAsia="es-MX"/>
                <w14:ligatures w14:val="none"/>
              </w:rPr>
              <w:t xml:space="preserve">undial </w:t>
            </w:r>
          </w:p>
        </w:tc>
        <w:tc>
          <w:tcPr>
            <w:tcW w:w="2180" w:type="dxa"/>
            <w:tcBorders>
              <w:top w:val="nil"/>
              <w:left w:val="nil"/>
              <w:bottom w:val="nil"/>
              <w:right w:val="nil"/>
            </w:tcBorders>
            <w:vAlign w:val="center"/>
            <w:hideMark/>
          </w:tcPr>
          <w:p w14:paraId="266611BC"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Independiente</w:t>
            </w:r>
          </w:p>
        </w:tc>
        <w:tc>
          <w:tcPr>
            <w:tcW w:w="2160" w:type="dxa"/>
            <w:tcBorders>
              <w:top w:val="nil"/>
              <w:left w:val="nil"/>
              <w:bottom w:val="nil"/>
              <w:right w:val="nil"/>
            </w:tcBorders>
            <w:vAlign w:val="center"/>
            <w:hideMark/>
          </w:tcPr>
          <w:p w14:paraId="34C32E0B" w14:textId="2D240D6E"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eastAsia="es-MX"/>
                <w14:ligatures w14:val="none"/>
              </w:rPr>
              <w:t>0 = antes de la designación, 1 = después de la designación</w:t>
            </w:r>
          </w:p>
        </w:tc>
        <w:tc>
          <w:tcPr>
            <w:tcW w:w="2180" w:type="dxa"/>
            <w:tcBorders>
              <w:top w:val="nil"/>
              <w:left w:val="nil"/>
              <w:bottom w:val="nil"/>
              <w:right w:val="nil"/>
            </w:tcBorders>
            <w:vAlign w:val="center"/>
            <w:hideMark/>
          </w:tcPr>
          <w:p w14:paraId="3ECA202E" w14:textId="58DD2D6B"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proofErr w:type="gramStart"/>
            <w:r w:rsidRPr="000840CC">
              <w:rPr>
                <w:rFonts w:ascii="Calibri" w:eastAsia="Times New Roman" w:hAnsi="Calibri" w:cs="Calibri"/>
                <w:color w:val="000000"/>
                <w:kern w:val="0"/>
                <w:sz w:val="20"/>
                <w:szCs w:val="20"/>
                <w:lang w:val="en-US" w:eastAsia="es-MX"/>
                <w14:ligatures w14:val="none"/>
              </w:rPr>
              <w:t>UNESCO</w:t>
            </w:r>
            <w:r w:rsidR="00F60989">
              <w:rPr>
                <w:rFonts w:ascii="Calibri" w:eastAsia="Times New Roman" w:hAnsi="Calibri" w:cs="Calibri"/>
                <w:color w:val="000000"/>
                <w:kern w:val="0"/>
                <w:sz w:val="20"/>
                <w:szCs w:val="20"/>
                <w:lang w:val="en-US" w:eastAsia="es-MX"/>
                <w14:ligatures w14:val="none"/>
              </w:rPr>
              <w:t>(</w:t>
            </w:r>
            <w:proofErr w:type="gramEnd"/>
            <w:r w:rsidR="00F60989" w:rsidRPr="00F60989">
              <w:rPr>
                <w:rFonts w:ascii="Calibri" w:eastAsia="Times New Roman" w:hAnsi="Calibri" w:cs="Calibri"/>
                <w:color w:val="C00000"/>
                <w:kern w:val="0"/>
                <w:sz w:val="20"/>
                <w:szCs w:val="20"/>
                <w:lang w:val="en-US" w:eastAsia="es-MX"/>
                <w14:ligatures w14:val="none"/>
              </w:rPr>
              <w:t>2023</w:t>
            </w:r>
            <w:r w:rsidR="00F60989">
              <w:rPr>
                <w:rFonts w:ascii="Calibri" w:eastAsia="Times New Roman" w:hAnsi="Calibri" w:cs="Calibri"/>
                <w:color w:val="C00000"/>
                <w:kern w:val="0"/>
                <w:sz w:val="20"/>
                <w:szCs w:val="20"/>
                <w:lang w:val="en-US" w:eastAsia="es-MX"/>
                <w14:ligatures w14:val="none"/>
              </w:rPr>
              <w:t>a</w:t>
            </w:r>
            <w:r w:rsidR="00F60989">
              <w:rPr>
                <w:rFonts w:ascii="Calibri" w:eastAsia="Times New Roman" w:hAnsi="Calibri" w:cs="Calibri"/>
                <w:color w:val="000000"/>
                <w:kern w:val="0"/>
                <w:sz w:val="20"/>
                <w:szCs w:val="20"/>
                <w:lang w:val="en-US" w:eastAsia="es-MX"/>
                <w14:ligatures w14:val="none"/>
              </w:rPr>
              <w:t>)</w:t>
            </w:r>
          </w:p>
        </w:tc>
      </w:tr>
      <w:tr w:rsidR="008F0BDD" w:rsidRPr="000840CC" w14:paraId="27113D95" w14:textId="77777777" w:rsidTr="005E7F9D">
        <w:trPr>
          <w:trHeight w:val="170"/>
        </w:trPr>
        <w:tc>
          <w:tcPr>
            <w:tcW w:w="2140" w:type="dxa"/>
            <w:tcBorders>
              <w:top w:val="nil"/>
              <w:left w:val="nil"/>
              <w:bottom w:val="nil"/>
              <w:right w:val="nil"/>
            </w:tcBorders>
            <w:vAlign w:val="center"/>
            <w:hideMark/>
          </w:tcPr>
          <w:p w14:paraId="4784457F"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proofErr w:type="spellStart"/>
            <w:r w:rsidRPr="000840CC">
              <w:rPr>
                <w:rFonts w:ascii="Calibri" w:eastAsia="Times New Roman" w:hAnsi="Calibri" w:cs="Calibri"/>
                <w:color w:val="000000"/>
                <w:kern w:val="0"/>
                <w:sz w:val="20"/>
                <w:szCs w:val="20"/>
                <w:lang w:val="en-US" w:eastAsia="es-MX"/>
                <w14:ligatures w14:val="none"/>
              </w:rPr>
              <w:t>Inflación</w:t>
            </w:r>
            <w:proofErr w:type="spellEnd"/>
          </w:p>
        </w:tc>
        <w:tc>
          <w:tcPr>
            <w:tcW w:w="2180" w:type="dxa"/>
            <w:tcBorders>
              <w:top w:val="nil"/>
              <w:left w:val="nil"/>
              <w:bottom w:val="nil"/>
              <w:right w:val="nil"/>
            </w:tcBorders>
            <w:vAlign w:val="center"/>
            <w:hideMark/>
          </w:tcPr>
          <w:p w14:paraId="386AEE2E"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Independiente</w:t>
            </w:r>
          </w:p>
        </w:tc>
        <w:tc>
          <w:tcPr>
            <w:tcW w:w="2160" w:type="dxa"/>
            <w:tcBorders>
              <w:top w:val="nil"/>
              <w:left w:val="nil"/>
              <w:bottom w:val="nil"/>
              <w:right w:val="nil"/>
            </w:tcBorders>
            <w:vAlign w:val="center"/>
            <w:hideMark/>
          </w:tcPr>
          <w:p w14:paraId="79403AC4"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eastAsia="es-MX"/>
                <w14:ligatures w14:val="none"/>
              </w:rPr>
              <w:t>Índice Nacional de Precios al Consumidor (INPC), variación porcentual trimestral</w:t>
            </w:r>
          </w:p>
        </w:tc>
        <w:tc>
          <w:tcPr>
            <w:tcW w:w="2180" w:type="dxa"/>
            <w:tcBorders>
              <w:top w:val="nil"/>
              <w:left w:val="nil"/>
              <w:bottom w:val="nil"/>
              <w:right w:val="nil"/>
            </w:tcBorders>
            <w:vAlign w:val="center"/>
            <w:hideMark/>
          </w:tcPr>
          <w:p w14:paraId="301B6C29" w14:textId="2E093013"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proofErr w:type="gramStart"/>
            <w:r w:rsidRPr="000840CC">
              <w:rPr>
                <w:rFonts w:ascii="Calibri" w:eastAsia="Times New Roman" w:hAnsi="Calibri" w:cs="Calibri"/>
                <w:color w:val="000000"/>
                <w:kern w:val="0"/>
                <w:sz w:val="20"/>
                <w:szCs w:val="20"/>
                <w:lang w:val="en-US" w:eastAsia="es-MX"/>
                <w14:ligatures w14:val="none"/>
              </w:rPr>
              <w:t>INEGI</w:t>
            </w:r>
            <w:r w:rsidR="002A1D44">
              <w:rPr>
                <w:rFonts w:ascii="Calibri" w:eastAsia="Times New Roman" w:hAnsi="Calibri" w:cs="Calibri"/>
                <w:color w:val="000000"/>
                <w:kern w:val="0"/>
                <w:sz w:val="20"/>
                <w:szCs w:val="20"/>
                <w:lang w:val="en-US" w:eastAsia="es-MX"/>
                <w14:ligatures w14:val="none"/>
              </w:rPr>
              <w:t>(</w:t>
            </w:r>
            <w:proofErr w:type="gramEnd"/>
            <w:r w:rsidR="002A1D44" w:rsidRPr="002A1D44">
              <w:rPr>
                <w:rFonts w:ascii="Calibri" w:eastAsia="Times New Roman" w:hAnsi="Calibri" w:cs="Calibri"/>
                <w:color w:val="C00000"/>
                <w:kern w:val="0"/>
                <w:sz w:val="20"/>
                <w:szCs w:val="20"/>
                <w:lang w:val="en-US" w:eastAsia="es-MX"/>
                <w14:ligatures w14:val="none"/>
              </w:rPr>
              <w:t>2021</w:t>
            </w:r>
            <w:r w:rsidR="00BC341A">
              <w:rPr>
                <w:rFonts w:ascii="Calibri" w:eastAsia="Times New Roman" w:hAnsi="Calibri" w:cs="Calibri"/>
                <w:color w:val="C00000"/>
                <w:kern w:val="0"/>
                <w:sz w:val="20"/>
                <w:szCs w:val="20"/>
                <w:lang w:val="en-US" w:eastAsia="es-MX"/>
                <w14:ligatures w14:val="none"/>
              </w:rPr>
              <w:t>c</w:t>
            </w:r>
            <w:r w:rsidR="002A1D44">
              <w:rPr>
                <w:rFonts w:ascii="Calibri" w:eastAsia="Times New Roman" w:hAnsi="Calibri" w:cs="Calibri"/>
                <w:color w:val="000000"/>
                <w:kern w:val="0"/>
                <w:sz w:val="20"/>
                <w:szCs w:val="20"/>
                <w:lang w:val="en-US" w:eastAsia="es-MX"/>
                <w14:ligatures w14:val="none"/>
              </w:rPr>
              <w:t>)</w:t>
            </w:r>
          </w:p>
        </w:tc>
      </w:tr>
      <w:tr w:rsidR="008F0BDD" w:rsidRPr="000840CC" w14:paraId="16675380" w14:textId="77777777" w:rsidTr="005E7F9D">
        <w:trPr>
          <w:trHeight w:val="170"/>
        </w:trPr>
        <w:tc>
          <w:tcPr>
            <w:tcW w:w="2140" w:type="dxa"/>
            <w:tcBorders>
              <w:top w:val="nil"/>
              <w:left w:val="nil"/>
              <w:bottom w:val="nil"/>
              <w:right w:val="nil"/>
            </w:tcBorders>
            <w:vAlign w:val="center"/>
            <w:hideMark/>
          </w:tcPr>
          <w:p w14:paraId="5B744B0E"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proofErr w:type="spellStart"/>
            <w:r w:rsidRPr="000840CC">
              <w:rPr>
                <w:rFonts w:ascii="Calibri" w:eastAsia="Times New Roman" w:hAnsi="Calibri" w:cs="Calibri"/>
                <w:color w:val="000000"/>
                <w:kern w:val="0"/>
                <w:sz w:val="20"/>
                <w:szCs w:val="20"/>
                <w:lang w:val="en-US" w:eastAsia="es-MX"/>
                <w14:ligatures w14:val="none"/>
              </w:rPr>
              <w:t>Períodos</w:t>
            </w:r>
            <w:proofErr w:type="spellEnd"/>
            <w:r w:rsidRPr="000840CC">
              <w:rPr>
                <w:rFonts w:ascii="Calibri" w:eastAsia="Times New Roman" w:hAnsi="Calibri" w:cs="Calibri"/>
                <w:color w:val="000000"/>
                <w:kern w:val="0"/>
                <w:sz w:val="20"/>
                <w:szCs w:val="20"/>
                <w:lang w:val="en-US" w:eastAsia="es-MX"/>
                <w14:ligatures w14:val="none"/>
              </w:rPr>
              <w:t xml:space="preserve"> </w:t>
            </w:r>
            <w:proofErr w:type="spellStart"/>
            <w:r w:rsidRPr="000840CC">
              <w:rPr>
                <w:rFonts w:ascii="Calibri" w:eastAsia="Times New Roman" w:hAnsi="Calibri" w:cs="Calibri"/>
                <w:color w:val="000000"/>
                <w:kern w:val="0"/>
                <w:sz w:val="20"/>
                <w:szCs w:val="20"/>
                <w:lang w:val="en-US" w:eastAsia="es-MX"/>
                <w14:ligatures w14:val="none"/>
              </w:rPr>
              <w:t>vacacionales</w:t>
            </w:r>
            <w:proofErr w:type="spellEnd"/>
          </w:p>
        </w:tc>
        <w:tc>
          <w:tcPr>
            <w:tcW w:w="2180" w:type="dxa"/>
            <w:tcBorders>
              <w:top w:val="nil"/>
              <w:left w:val="nil"/>
              <w:bottom w:val="nil"/>
              <w:right w:val="nil"/>
            </w:tcBorders>
            <w:vAlign w:val="center"/>
            <w:hideMark/>
          </w:tcPr>
          <w:p w14:paraId="17702E55"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Independiente</w:t>
            </w:r>
          </w:p>
        </w:tc>
        <w:tc>
          <w:tcPr>
            <w:tcW w:w="2160" w:type="dxa"/>
            <w:tcBorders>
              <w:top w:val="nil"/>
              <w:left w:val="nil"/>
              <w:bottom w:val="nil"/>
              <w:right w:val="nil"/>
            </w:tcBorders>
            <w:vAlign w:val="center"/>
            <w:hideMark/>
          </w:tcPr>
          <w:p w14:paraId="45AE28FA" w14:textId="5B23F792"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eastAsia="es-MX"/>
                <w14:ligatures w14:val="none"/>
              </w:rPr>
              <w:t>0 = fuera de vacaciones, 1 = durante vacaciones</w:t>
            </w:r>
          </w:p>
        </w:tc>
        <w:tc>
          <w:tcPr>
            <w:tcW w:w="2180" w:type="dxa"/>
            <w:tcBorders>
              <w:top w:val="nil"/>
              <w:left w:val="nil"/>
              <w:bottom w:val="nil"/>
              <w:right w:val="nil"/>
            </w:tcBorders>
            <w:vAlign w:val="center"/>
            <w:hideMark/>
          </w:tcPr>
          <w:p w14:paraId="4566DE34"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SEP (</w:t>
            </w:r>
            <w:proofErr w:type="spellStart"/>
            <w:r w:rsidRPr="000840CC">
              <w:rPr>
                <w:rFonts w:ascii="Calibri" w:eastAsia="Times New Roman" w:hAnsi="Calibri" w:cs="Calibri"/>
                <w:color w:val="000000"/>
                <w:kern w:val="0"/>
                <w:sz w:val="20"/>
                <w:szCs w:val="20"/>
                <w:lang w:val="en-US" w:eastAsia="es-MX"/>
                <w14:ligatures w14:val="none"/>
              </w:rPr>
              <w:t>calendario</w:t>
            </w:r>
            <w:proofErr w:type="spellEnd"/>
            <w:r w:rsidRPr="000840CC">
              <w:rPr>
                <w:rFonts w:ascii="Calibri" w:eastAsia="Times New Roman" w:hAnsi="Calibri" w:cs="Calibri"/>
                <w:color w:val="000000"/>
                <w:kern w:val="0"/>
                <w:sz w:val="20"/>
                <w:szCs w:val="20"/>
                <w:lang w:val="en-US" w:eastAsia="es-MX"/>
                <w14:ligatures w14:val="none"/>
              </w:rPr>
              <w:t xml:space="preserve"> escolar </w:t>
            </w:r>
            <w:proofErr w:type="spellStart"/>
            <w:r w:rsidRPr="000840CC">
              <w:rPr>
                <w:rFonts w:ascii="Calibri" w:eastAsia="Times New Roman" w:hAnsi="Calibri" w:cs="Calibri"/>
                <w:color w:val="000000"/>
                <w:kern w:val="0"/>
                <w:sz w:val="20"/>
                <w:szCs w:val="20"/>
                <w:lang w:val="en-US" w:eastAsia="es-MX"/>
                <w14:ligatures w14:val="none"/>
              </w:rPr>
              <w:t>oficial</w:t>
            </w:r>
            <w:proofErr w:type="spellEnd"/>
            <w:r w:rsidRPr="000840CC">
              <w:rPr>
                <w:rFonts w:ascii="Calibri" w:eastAsia="Times New Roman" w:hAnsi="Calibri" w:cs="Calibri"/>
                <w:color w:val="000000"/>
                <w:kern w:val="0"/>
                <w:sz w:val="20"/>
                <w:szCs w:val="20"/>
                <w:lang w:val="en-US" w:eastAsia="es-MX"/>
                <w14:ligatures w14:val="none"/>
              </w:rPr>
              <w:t>)</w:t>
            </w:r>
          </w:p>
        </w:tc>
      </w:tr>
      <w:tr w:rsidR="008F0BDD" w:rsidRPr="000840CC" w14:paraId="52B6EC0D" w14:textId="77777777" w:rsidTr="005E7F9D">
        <w:trPr>
          <w:trHeight w:val="170"/>
        </w:trPr>
        <w:tc>
          <w:tcPr>
            <w:tcW w:w="2140" w:type="dxa"/>
            <w:tcBorders>
              <w:top w:val="nil"/>
              <w:left w:val="nil"/>
              <w:bottom w:val="nil"/>
              <w:right w:val="nil"/>
            </w:tcBorders>
            <w:vAlign w:val="center"/>
            <w:hideMark/>
          </w:tcPr>
          <w:p w14:paraId="14FB0A7A"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proofErr w:type="spellStart"/>
            <w:r w:rsidRPr="000840CC">
              <w:rPr>
                <w:rFonts w:ascii="Calibri" w:eastAsia="Times New Roman" w:hAnsi="Calibri" w:cs="Calibri"/>
                <w:color w:val="000000"/>
                <w:kern w:val="0"/>
                <w:sz w:val="20"/>
                <w:szCs w:val="20"/>
                <w:lang w:val="en-US" w:eastAsia="es-MX"/>
                <w14:ligatures w14:val="none"/>
              </w:rPr>
              <w:t>Ingreso</w:t>
            </w:r>
            <w:proofErr w:type="spellEnd"/>
            <w:r w:rsidRPr="000840CC">
              <w:rPr>
                <w:rFonts w:ascii="Calibri" w:eastAsia="Times New Roman" w:hAnsi="Calibri" w:cs="Calibri"/>
                <w:color w:val="000000"/>
                <w:kern w:val="0"/>
                <w:sz w:val="20"/>
                <w:szCs w:val="20"/>
                <w:lang w:val="en-US" w:eastAsia="es-MX"/>
                <w14:ligatures w14:val="none"/>
              </w:rPr>
              <w:t xml:space="preserve"> del </w:t>
            </w:r>
            <w:proofErr w:type="spellStart"/>
            <w:r w:rsidRPr="000840CC">
              <w:rPr>
                <w:rFonts w:ascii="Calibri" w:eastAsia="Times New Roman" w:hAnsi="Calibri" w:cs="Calibri"/>
                <w:color w:val="000000"/>
                <w:kern w:val="0"/>
                <w:sz w:val="20"/>
                <w:szCs w:val="20"/>
                <w:lang w:val="en-US" w:eastAsia="es-MX"/>
                <w14:ligatures w14:val="none"/>
              </w:rPr>
              <w:t>hogar</w:t>
            </w:r>
            <w:proofErr w:type="spellEnd"/>
          </w:p>
        </w:tc>
        <w:tc>
          <w:tcPr>
            <w:tcW w:w="2180" w:type="dxa"/>
            <w:tcBorders>
              <w:top w:val="nil"/>
              <w:left w:val="nil"/>
              <w:bottom w:val="nil"/>
              <w:right w:val="nil"/>
            </w:tcBorders>
            <w:vAlign w:val="center"/>
            <w:hideMark/>
          </w:tcPr>
          <w:p w14:paraId="7DCDADE7" w14:textId="77777777" w:rsidR="008F0BDD" w:rsidRPr="000840CC"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Independiente</w:t>
            </w:r>
          </w:p>
        </w:tc>
        <w:tc>
          <w:tcPr>
            <w:tcW w:w="2160" w:type="dxa"/>
            <w:tcBorders>
              <w:top w:val="nil"/>
              <w:left w:val="nil"/>
              <w:bottom w:val="nil"/>
              <w:right w:val="nil"/>
            </w:tcBorders>
            <w:vAlign w:val="center"/>
            <w:hideMark/>
          </w:tcPr>
          <w:p w14:paraId="569570FA" w14:textId="5885E1D8"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eastAsia="es-MX"/>
                <w14:ligatures w14:val="none"/>
              </w:rPr>
              <w:t xml:space="preserve">Promedio de ingreso trimestral por hogar en </w:t>
            </w:r>
            <w:r w:rsidR="00DC467E" w:rsidRPr="000840CC">
              <w:rPr>
                <w:rFonts w:ascii="Calibri" w:eastAsia="Times New Roman" w:hAnsi="Calibri" w:cs="Calibri"/>
                <w:color w:val="000000"/>
                <w:kern w:val="0"/>
                <w:sz w:val="20"/>
                <w:szCs w:val="20"/>
                <w:lang w:eastAsia="es-MX"/>
                <w14:ligatures w14:val="none"/>
              </w:rPr>
              <w:t>dólares estadounidenses</w:t>
            </w:r>
          </w:p>
        </w:tc>
        <w:tc>
          <w:tcPr>
            <w:tcW w:w="2180" w:type="dxa"/>
            <w:tcBorders>
              <w:top w:val="nil"/>
              <w:left w:val="nil"/>
              <w:bottom w:val="nil"/>
              <w:right w:val="nil"/>
            </w:tcBorders>
            <w:vAlign w:val="center"/>
            <w:hideMark/>
          </w:tcPr>
          <w:p w14:paraId="3E1BFC9D" w14:textId="381B1CBB"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ENIGH/INEGI</w:t>
            </w:r>
            <w:r w:rsidR="00656AC1">
              <w:rPr>
                <w:rFonts w:ascii="Calibri" w:eastAsia="Times New Roman" w:hAnsi="Calibri" w:cs="Calibri"/>
                <w:color w:val="000000"/>
                <w:kern w:val="0"/>
                <w:sz w:val="20"/>
                <w:szCs w:val="20"/>
                <w:lang w:val="en-US" w:eastAsia="es-MX"/>
                <w14:ligatures w14:val="none"/>
              </w:rPr>
              <w:t xml:space="preserve"> (</w:t>
            </w:r>
            <w:r w:rsidR="00656AC1" w:rsidRPr="00B8223A">
              <w:rPr>
                <w:rFonts w:ascii="Calibri" w:eastAsia="Times New Roman" w:hAnsi="Calibri" w:cs="Calibri"/>
                <w:color w:val="C00000"/>
                <w:kern w:val="0"/>
                <w:sz w:val="20"/>
                <w:szCs w:val="20"/>
                <w:lang w:val="en-US" w:eastAsia="es-MX"/>
                <w14:ligatures w14:val="none"/>
              </w:rPr>
              <w:t>202</w:t>
            </w:r>
            <w:r w:rsidR="00B8223A">
              <w:rPr>
                <w:rFonts w:ascii="Calibri" w:eastAsia="Times New Roman" w:hAnsi="Calibri" w:cs="Calibri"/>
                <w:color w:val="C00000"/>
                <w:kern w:val="0"/>
                <w:sz w:val="20"/>
                <w:szCs w:val="20"/>
                <w:lang w:val="en-US" w:eastAsia="es-MX"/>
                <w14:ligatures w14:val="none"/>
              </w:rPr>
              <w:t>2</w:t>
            </w:r>
            <w:r w:rsidR="00656AC1">
              <w:rPr>
                <w:rFonts w:ascii="Calibri" w:eastAsia="Times New Roman" w:hAnsi="Calibri" w:cs="Calibri"/>
                <w:color w:val="000000"/>
                <w:kern w:val="0"/>
                <w:sz w:val="20"/>
                <w:szCs w:val="20"/>
                <w:lang w:val="en-US" w:eastAsia="es-MX"/>
                <w14:ligatures w14:val="none"/>
              </w:rPr>
              <w:t>)</w:t>
            </w:r>
          </w:p>
        </w:tc>
      </w:tr>
      <w:tr w:rsidR="008F0BDD" w:rsidRPr="000840CC" w14:paraId="0A84E06A" w14:textId="77777777" w:rsidTr="005E7F9D">
        <w:trPr>
          <w:trHeight w:val="170"/>
        </w:trPr>
        <w:tc>
          <w:tcPr>
            <w:tcW w:w="2140" w:type="dxa"/>
            <w:tcBorders>
              <w:top w:val="nil"/>
              <w:left w:val="nil"/>
              <w:bottom w:val="nil"/>
              <w:right w:val="nil"/>
            </w:tcBorders>
            <w:vAlign w:val="center"/>
            <w:hideMark/>
          </w:tcPr>
          <w:p w14:paraId="4E8A8078"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proofErr w:type="spellStart"/>
            <w:r w:rsidRPr="000840CC">
              <w:rPr>
                <w:rFonts w:ascii="Calibri" w:eastAsia="Times New Roman" w:hAnsi="Calibri" w:cs="Calibri"/>
                <w:color w:val="000000"/>
                <w:kern w:val="0"/>
                <w:sz w:val="20"/>
                <w:szCs w:val="20"/>
                <w:lang w:val="en-US" w:eastAsia="es-MX"/>
                <w14:ligatures w14:val="none"/>
              </w:rPr>
              <w:t>Confianza</w:t>
            </w:r>
            <w:proofErr w:type="spellEnd"/>
            <w:r w:rsidRPr="000840CC">
              <w:rPr>
                <w:rFonts w:ascii="Calibri" w:eastAsia="Times New Roman" w:hAnsi="Calibri" w:cs="Calibri"/>
                <w:color w:val="000000"/>
                <w:kern w:val="0"/>
                <w:sz w:val="20"/>
                <w:szCs w:val="20"/>
                <w:lang w:val="en-US" w:eastAsia="es-MX"/>
                <w14:ligatures w14:val="none"/>
              </w:rPr>
              <w:t xml:space="preserve"> del </w:t>
            </w:r>
            <w:proofErr w:type="spellStart"/>
            <w:r w:rsidRPr="000840CC">
              <w:rPr>
                <w:rFonts w:ascii="Calibri" w:eastAsia="Times New Roman" w:hAnsi="Calibri" w:cs="Calibri"/>
                <w:color w:val="000000"/>
                <w:kern w:val="0"/>
                <w:sz w:val="20"/>
                <w:szCs w:val="20"/>
                <w:lang w:val="en-US" w:eastAsia="es-MX"/>
                <w14:ligatures w14:val="none"/>
              </w:rPr>
              <w:t>consumidor</w:t>
            </w:r>
            <w:proofErr w:type="spellEnd"/>
          </w:p>
        </w:tc>
        <w:tc>
          <w:tcPr>
            <w:tcW w:w="2180" w:type="dxa"/>
            <w:tcBorders>
              <w:top w:val="nil"/>
              <w:left w:val="nil"/>
              <w:bottom w:val="nil"/>
              <w:right w:val="nil"/>
            </w:tcBorders>
            <w:vAlign w:val="center"/>
            <w:hideMark/>
          </w:tcPr>
          <w:p w14:paraId="326F5BF4" w14:textId="77777777" w:rsidR="008F0BDD" w:rsidRPr="000840CC"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Independiente</w:t>
            </w:r>
          </w:p>
        </w:tc>
        <w:tc>
          <w:tcPr>
            <w:tcW w:w="2160" w:type="dxa"/>
            <w:tcBorders>
              <w:top w:val="nil"/>
              <w:left w:val="nil"/>
              <w:bottom w:val="nil"/>
              <w:right w:val="nil"/>
            </w:tcBorders>
            <w:vAlign w:val="center"/>
            <w:hideMark/>
          </w:tcPr>
          <w:p w14:paraId="752769BE"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eastAsia="es-MX"/>
                <w14:ligatures w14:val="none"/>
              </w:rPr>
              <w:t>Índice de confianza del consumidor (escala de 0 a 100)</w:t>
            </w:r>
          </w:p>
        </w:tc>
        <w:tc>
          <w:tcPr>
            <w:tcW w:w="2180" w:type="dxa"/>
            <w:tcBorders>
              <w:top w:val="nil"/>
              <w:left w:val="nil"/>
              <w:bottom w:val="nil"/>
              <w:right w:val="nil"/>
            </w:tcBorders>
            <w:vAlign w:val="center"/>
            <w:hideMark/>
          </w:tcPr>
          <w:p w14:paraId="04109085" w14:textId="12B27E26"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INEGI</w:t>
            </w:r>
            <w:r w:rsidR="00B8223A">
              <w:rPr>
                <w:rFonts w:ascii="Calibri" w:eastAsia="Times New Roman" w:hAnsi="Calibri" w:cs="Calibri"/>
                <w:color w:val="000000"/>
                <w:kern w:val="0"/>
                <w:sz w:val="20"/>
                <w:szCs w:val="20"/>
                <w:lang w:val="en-US" w:eastAsia="es-MX"/>
                <w14:ligatures w14:val="none"/>
              </w:rPr>
              <w:t xml:space="preserve"> (</w:t>
            </w:r>
            <w:r w:rsidR="00B8223A" w:rsidRPr="00B8223A">
              <w:rPr>
                <w:rFonts w:ascii="Calibri" w:eastAsia="Times New Roman" w:hAnsi="Calibri" w:cs="Calibri"/>
                <w:color w:val="C00000"/>
                <w:kern w:val="0"/>
                <w:sz w:val="20"/>
                <w:szCs w:val="20"/>
                <w:lang w:val="en-US" w:eastAsia="es-MX"/>
                <w14:ligatures w14:val="none"/>
              </w:rPr>
              <w:t>2021</w:t>
            </w:r>
            <w:r w:rsidR="00B766FC">
              <w:rPr>
                <w:rFonts w:ascii="Calibri" w:eastAsia="Times New Roman" w:hAnsi="Calibri" w:cs="Calibri"/>
                <w:color w:val="C00000"/>
                <w:kern w:val="0"/>
                <w:sz w:val="20"/>
                <w:szCs w:val="20"/>
                <w:lang w:val="en-US" w:eastAsia="es-MX"/>
                <w14:ligatures w14:val="none"/>
              </w:rPr>
              <w:t>a</w:t>
            </w:r>
            <w:r w:rsidR="00B8223A">
              <w:rPr>
                <w:rFonts w:ascii="Calibri" w:eastAsia="Times New Roman" w:hAnsi="Calibri" w:cs="Calibri"/>
                <w:color w:val="000000"/>
                <w:kern w:val="0"/>
                <w:sz w:val="20"/>
                <w:szCs w:val="20"/>
                <w:lang w:val="en-US" w:eastAsia="es-MX"/>
                <w14:ligatures w14:val="none"/>
              </w:rPr>
              <w:t>)</w:t>
            </w:r>
          </w:p>
        </w:tc>
      </w:tr>
      <w:tr w:rsidR="008F0BDD" w:rsidRPr="000840CC" w14:paraId="024E3FA6" w14:textId="77777777" w:rsidTr="005E7F9D">
        <w:trPr>
          <w:trHeight w:val="170"/>
        </w:trPr>
        <w:tc>
          <w:tcPr>
            <w:tcW w:w="2140" w:type="dxa"/>
            <w:tcBorders>
              <w:top w:val="nil"/>
              <w:left w:val="nil"/>
              <w:bottom w:val="single" w:sz="8" w:space="0" w:color="auto"/>
              <w:right w:val="nil"/>
            </w:tcBorders>
            <w:vAlign w:val="center"/>
            <w:hideMark/>
          </w:tcPr>
          <w:p w14:paraId="26A1E86C"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 xml:space="preserve">Tipo de </w:t>
            </w:r>
            <w:proofErr w:type="spellStart"/>
            <w:r w:rsidRPr="000840CC">
              <w:rPr>
                <w:rFonts w:ascii="Calibri" w:eastAsia="Times New Roman" w:hAnsi="Calibri" w:cs="Calibri"/>
                <w:color w:val="000000"/>
                <w:kern w:val="0"/>
                <w:sz w:val="20"/>
                <w:szCs w:val="20"/>
                <w:lang w:val="en-US" w:eastAsia="es-MX"/>
                <w14:ligatures w14:val="none"/>
              </w:rPr>
              <w:t>cambio</w:t>
            </w:r>
            <w:proofErr w:type="spellEnd"/>
          </w:p>
        </w:tc>
        <w:tc>
          <w:tcPr>
            <w:tcW w:w="2180" w:type="dxa"/>
            <w:tcBorders>
              <w:top w:val="nil"/>
              <w:left w:val="nil"/>
              <w:bottom w:val="single" w:sz="8" w:space="0" w:color="auto"/>
              <w:right w:val="nil"/>
            </w:tcBorders>
            <w:vAlign w:val="center"/>
            <w:hideMark/>
          </w:tcPr>
          <w:p w14:paraId="2C5E4DA1" w14:textId="77777777" w:rsidR="008F0BDD" w:rsidRPr="000840CC"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Independiente</w:t>
            </w:r>
          </w:p>
        </w:tc>
        <w:tc>
          <w:tcPr>
            <w:tcW w:w="2160" w:type="dxa"/>
            <w:tcBorders>
              <w:top w:val="nil"/>
              <w:left w:val="nil"/>
              <w:bottom w:val="single" w:sz="8" w:space="0" w:color="auto"/>
              <w:right w:val="nil"/>
            </w:tcBorders>
            <w:vAlign w:val="center"/>
            <w:hideMark/>
          </w:tcPr>
          <w:p w14:paraId="38D4DD86"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eastAsia="es-MX"/>
                <w14:ligatures w14:val="none"/>
              </w:rPr>
              <w:t>Pesos mexicanos por dólar estadounidense (MXN/USD), promedio trimestral</w:t>
            </w:r>
          </w:p>
        </w:tc>
        <w:tc>
          <w:tcPr>
            <w:tcW w:w="2180" w:type="dxa"/>
            <w:tcBorders>
              <w:top w:val="nil"/>
              <w:left w:val="nil"/>
              <w:bottom w:val="single" w:sz="8" w:space="0" w:color="auto"/>
              <w:right w:val="nil"/>
            </w:tcBorders>
            <w:vAlign w:val="center"/>
            <w:hideMark/>
          </w:tcPr>
          <w:p w14:paraId="594334D2" w14:textId="77777777" w:rsidR="008F0BDD" w:rsidRPr="000840CC" w:rsidRDefault="008F0BDD" w:rsidP="003D0615">
            <w:pPr>
              <w:spacing w:after="0" w:line="240" w:lineRule="auto"/>
              <w:jc w:val="center"/>
              <w:rPr>
                <w:rFonts w:ascii="Calibri" w:eastAsia="Times New Roman" w:hAnsi="Calibri" w:cs="Calibri"/>
                <w:color w:val="000000"/>
                <w:kern w:val="0"/>
                <w:sz w:val="20"/>
                <w:szCs w:val="20"/>
                <w:lang w:eastAsia="es-MX"/>
                <w14:ligatures w14:val="none"/>
              </w:rPr>
            </w:pPr>
            <w:r w:rsidRPr="000840CC">
              <w:rPr>
                <w:rFonts w:ascii="Calibri" w:eastAsia="Times New Roman" w:hAnsi="Calibri" w:cs="Calibri"/>
                <w:color w:val="000000"/>
                <w:kern w:val="0"/>
                <w:sz w:val="20"/>
                <w:szCs w:val="20"/>
                <w:lang w:val="en-US" w:eastAsia="es-MX"/>
                <w14:ligatures w14:val="none"/>
              </w:rPr>
              <w:t>Banco de México</w:t>
            </w:r>
          </w:p>
        </w:tc>
      </w:tr>
    </w:tbl>
    <w:p w14:paraId="282853F4" w14:textId="54EAB43C" w:rsidR="00EA20D1" w:rsidRPr="00800D90" w:rsidRDefault="008F0BDD" w:rsidP="003D0615">
      <w:pPr>
        <w:tabs>
          <w:tab w:val="right" w:pos="8838"/>
        </w:tabs>
        <w:spacing w:line="278" w:lineRule="auto"/>
        <w:rPr>
          <w:rFonts w:ascii="Calibri" w:eastAsia="Aptos" w:hAnsi="Calibri" w:cs="Calibri"/>
          <w:kern w:val="0"/>
          <w14:ligatures w14:val="none"/>
        </w:rPr>
      </w:pPr>
      <w:r w:rsidRPr="00A90191">
        <w:rPr>
          <w:rFonts w:ascii="Calibri" w:eastAsia="Aptos" w:hAnsi="Calibri" w:cs="Calibri"/>
          <w:kern w:val="0"/>
          <w:sz w:val="24"/>
          <w:szCs w:val="24"/>
          <w14:ligatures w14:val="none"/>
        </w:rPr>
        <w:t>F</w:t>
      </w:r>
      <w:r w:rsidRPr="00A90191">
        <w:rPr>
          <w:rFonts w:ascii="Calibri" w:eastAsia="Aptos" w:hAnsi="Calibri" w:cs="Calibri"/>
          <w:kern w:val="0"/>
          <w:sz w:val="24"/>
          <w:szCs w:val="24"/>
          <w:shd w:val="clear" w:color="auto" w:fill="FFFFFF" w:themeFill="background1"/>
          <w14:ligatures w14:val="none"/>
        </w:rPr>
        <w:t>uente: Elaboración propia</w:t>
      </w:r>
      <w:r w:rsidR="007B332C">
        <w:rPr>
          <w:rFonts w:ascii="Calibri" w:eastAsia="Aptos" w:hAnsi="Calibri" w:cs="Calibri"/>
          <w:kern w:val="0"/>
          <w:shd w:val="clear" w:color="auto" w:fill="FFFFFF" w:themeFill="background1"/>
          <w14:ligatures w14:val="none"/>
        </w:rPr>
        <w:tab/>
      </w:r>
    </w:p>
    <w:p w14:paraId="0B7D8A49" w14:textId="3908718C" w:rsidR="0049583F" w:rsidRPr="00D44E2B" w:rsidRDefault="0049583F" w:rsidP="003D0615">
      <w:pPr>
        <w:suppressAutoHyphens/>
        <w:spacing w:line="240" w:lineRule="auto"/>
        <w:ind w:firstLine="709"/>
        <w:jc w:val="both"/>
        <w:rPr>
          <w:rFonts w:ascii="Calibri" w:hAnsi="Calibri" w:cs="Calibri"/>
          <w:b/>
          <w:bCs/>
          <w:kern w:val="0"/>
          <w:sz w:val="24"/>
          <w:szCs w:val="24"/>
          <w:lang w:val="es-ES"/>
          <w14:ligatures w14:val="none"/>
        </w:rPr>
      </w:pPr>
      <w:r w:rsidRPr="00D44E2B">
        <w:rPr>
          <w:rFonts w:ascii="Calibri" w:hAnsi="Calibri" w:cs="Calibri"/>
          <w:b/>
          <w:bCs/>
          <w:kern w:val="0"/>
          <w:sz w:val="24"/>
          <w:szCs w:val="24"/>
          <w:lang w:val="es-ES"/>
          <w14:ligatures w14:val="none"/>
        </w:rPr>
        <w:lastRenderedPageBreak/>
        <w:t>Modelo explicativo del flujo turístico</w:t>
      </w:r>
    </w:p>
    <w:p w14:paraId="6A2EC9AA" w14:textId="77777777" w:rsidR="0049583F" w:rsidRPr="00D44E2B" w:rsidRDefault="0049583F" w:rsidP="003D0615">
      <w:pPr>
        <w:suppressAutoHyphens/>
        <w:spacing w:line="240" w:lineRule="auto"/>
        <w:ind w:firstLine="709"/>
        <w:jc w:val="both"/>
        <w:rPr>
          <w:rFonts w:ascii="Calibri" w:hAnsi="Calibri" w:cs="Calibri"/>
          <w:kern w:val="0"/>
          <w:sz w:val="24"/>
          <w:szCs w:val="24"/>
          <w:vertAlign w:val="subscript"/>
          <w:lang w:val="es-ES"/>
          <w14:ligatures w14:val="none"/>
        </w:rPr>
      </w:pPr>
      <w:r w:rsidRPr="00D44E2B">
        <w:rPr>
          <w:rFonts w:ascii="Calibri" w:hAnsi="Calibri" w:cs="Calibri"/>
          <w:noProof/>
          <w:kern w:val="0"/>
          <w:sz w:val="24"/>
          <w:szCs w:val="24"/>
          <w14:ligatures w14:val="none"/>
        </w:rPr>
        <mc:AlternateContent>
          <mc:Choice Requires="wps">
            <w:drawing>
              <wp:anchor distT="0" distB="0" distL="0" distR="0" simplePos="0" relativeHeight="251659264" behindDoc="0" locked="0" layoutInCell="0" allowOverlap="1" wp14:anchorId="2D196B77" wp14:editId="2E7CACB9">
                <wp:simplePos x="0" y="0"/>
                <wp:positionH relativeFrom="margin">
                  <wp:posOffset>283569</wp:posOffset>
                </wp:positionH>
                <wp:positionV relativeFrom="paragraph">
                  <wp:posOffset>369515</wp:posOffset>
                </wp:positionV>
                <wp:extent cx="3130550" cy="368300"/>
                <wp:effectExtent l="0" t="0" r="0" b="0"/>
                <wp:wrapNone/>
                <wp:docPr id="2" name="CuadroTexto 5"/>
                <wp:cNvGraphicFramePr/>
                <a:graphic xmlns:a="http://schemas.openxmlformats.org/drawingml/2006/main">
                  <a:graphicData uri="http://schemas.microsoft.com/office/word/2010/wordprocessingShape">
                    <wps:wsp>
                      <wps:cNvSpPr/>
                      <wps:spPr>
                        <a:xfrm>
                          <a:off x="0" y="0"/>
                          <a:ext cx="3130550" cy="368300"/>
                        </a:xfrm>
                        <a:prstGeom prst="rect">
                          <a:avLst/>
                        </a:prstGeom>
                        <a:noFill/>
                        <a:ln w="0">
                          <a:noFill/>
                        </a:ln>
                        <a:effectLst/>
                      </wps:spPr>
                      <wps:txbx>
                        <w:txbxContent>
                          <w:p w14:paraId="53C226FF" w14:textId="77777777" w:rsidR="0049583F" w:rsidRDefault="0049583F" w:rsidP="0049583F">
                            <w:pPr>
                              <w:pStyle w:val="FrameContents"/>
                              <w:spacing w:line="252" w:lineRule="auto"/>
                              <w:jc w:val="both"/>
                              <w:textAlignment w:val="baseline"/>
                              <w:rPr>
                                <w:rFonts w:eastAsiaTheme="minorEastAsia"/>
                                <w:color w:val="000000"/>
                                <w:kern w:val="2"/>
                                <w:sz w:val="24"/>
                                <w:szCs w:val="24"/>
                              </w:rPr>
                            </w:pPr>
                            <m:oMath>
                              <m:r>
                                <w:rPr>
                                  <w:rFonts w:ascii="Cambria Math" w:hAnsi="Cambria Math"/>
                                </w:rPr>
                                <m:t>Y=</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sSub>
                                <m:sSubPr>
                                  <m:ctrlPr>
                                    <w:rPr>
                                      <w:rFonts w:ascii="Cambria Math" w:hAnsi="Cambria Math"/>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n</m:t>
                                  </m:r>
                                </m:sub>
                              </m:sSub>
                              <m:sSub>
                                <m:sSubPr>
                                  <m:ctrlPr>
                                    <w:rPr>
                                      <w:rFonts w:ascii="Cambria Math" w:hAnsi="Cambria Math"/>
                                    </w:rPr>
                                  </m:ctrlPr>
                                </m:sSubPr>
                                <m:e>
                                  <m:r>
                                    <w:rPr>
                                      <w:rFonts w:ascii="Cambria Math" w:hAnsi="Cambria Math"/>
                                    </w:rPr>
                                    <m:t>X</m:t>
                                  </m:r>
                                </m:e>
                                <m:sub>
                                  <m:r>
                                    <w:rPr>
                                      <w:rFonts w:ascii="Cambria Math" w:hAnsi="Cambria Math"/>
                                    </w:rPr>
                                    <m:t>n</m:t>
                                  </m:r>
                                </m:sub>
                              </m:sSub>
                              <m:r>
                                <w:rPr>
                                  <w:rFonts w:ascii="Cambria Math" w:hAnsi="Cambria Math"/>
                                </w:rPr>
                                <m:t>+∈</m:t>
                              </m:r>
                            </m:oMath>
                            <w:r>
                              <w:rPr>
                                <w:rFonts w:eastAsiaTheme="minorEastAsia"/>
                                <w:color w:val="000000"/>
                                <w:kern w:val="2"/>
                                <w:sz w:val="24"/>
                                <w:szCs w:val="24"/>
                              </w:rPr>
                              <w:t xml:space="preserve">  </w:t>
                            </w:r>
                          </w:p>
                        </w:txbxContent>
                      </wps:txbx>
                      <wps:bodyPr anchor="t">
                        <a:noAutofit/>
                      </wps:bodyPr>
                    </wps:wsp>
                  </a:graphicData>
                </a:graphic>
              </wp:anchor>
            </w:drawing>
          </mc:Choice>
          <mc:Fallback>
            <w:pict>
              <v:rect w14:anchorId="2D196B77" id="CuadroTexto 5" o:spid="_x0000_s1026" style="position:absolute;left:0;text-align:left;margin-left:22.35pt;margin-top:29.1pt;width:246.5pt;height:29pt;z-index:25165926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" o:allowincell="f" filled="f" stroked="f" strokeweight="0">
                <v:textbox>
                  <w:txbxContent>
                    <w:p w14:paraId="53C226FF" w14:textId="77777777" w:rsidR="0049583F" w:rsidRDefault="0049583F" w:rsidP="0049583F">
                      <w:pPr>
                        <w:pStyle w:val="FrameContents"/>
                        <w:spacing w:line="252" w:lineRule="auto"/>
                        <w:jc w:val="both"/>
                        <w:textAlignment w:val="baseline"/>
                        <w:rPr>
                          <w:rFonts w:eastAsiaTheme="minorEastAsia"/>
                          <w:color w:val="000000"/>
                          <w:kern w:val="2"/>
                          <w:sz w:val="24"/>
                          <w:szCs w:val="24"/>
                        </w:rPr>
                      </w:pPr>
                      <m:oMath>
                        <m:r>
                          <w:rPr>
                            <w:rFonts w:ascii="Cambria Math" w:hAnsi="Cambria Math"/>
                          </w:rPr>
                          <m:t>Y=</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sSub>
                          <m:sSubPr>
                            <m:ctrlPr>
                              <w:rPr>
                                <w:rFonts w:ascii="Cambria Math" w:hAnsi="Cambria Math"/>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n</m:t>
                            </m:r>
                          </m:sub>
                        </m:sSub>
                        <m:sSub>
                          <m:sSubPr>
                            <m:ctrlPr>
                              <w:rPr>
                                <w:rFonts w:ascii="Cambria Math" w:hAnsi="Cambria Math"/>
                              </w:rPr>
                            </m:ctrlPr>
                          </m:sSubPr>
                          <m:e>
                            <m:r>
                              <w:rPr>
                                <w:rFonts w:ascii="Cambria Math" w:hAnsi="Cambria Math"/>
                              </w:rPr>
                              <m:t>X</m:t>
                            </m:r>
                          </m:e>
                          <m:sub>
                            <m:r>
                              <w:rPr>
                                <w:rFonts w:ascii="Cambria Math" w:hAnsi="Cambria Math"/>
                              </w:rPr>
                              <m:t>n</m:t>
                            </m:r>
                          </m:sub>
                        </m:sSub>
                        <m:r>
                          <w:rPr>
                            <w:rFonts w:ascii="Cambria Math" w:hAnsi="Cambria Math"/>
                          </w:rPr>
                          <m:t>+∈</m:t>
                        </m:r>
                      </m:oMath>
                      <w:r>
                        <w:rPr>
                          <w:rFonts w:eastAsiaTheme="minorEastAsia"/>
                          <w:color w:val="000000"/>
                          <w:kern w:val="2"/>
                          <w:sz w:val="24"/>
                          <w:szCs w:val="24"/>
                        </w:rPr>
                        <w:t xml:space="preserve">  </w:t>
                      </w:r>
                    </w:p>
                  </w:txbxContent>
                </v:textbox>
                <w10:wrap anchorx="margin"/>
              </v:rect>
            </w:pict>
          </mc:Fallback>
        </mc:AlternateContent>
      </w:r>
      <w:r w:rsidRPr="00D44E2B">
        <w:rPr>
          <w:rFonts w:ascii="Calibri" w:hAnsi="Calibri" w:cs="Calibri"/>
          <w:kern w:val="0"/>
          <w:sz w:val="24"/>
          <w:szCs w:val="24"/>
          <w:lang w:val="es-ES"/>
          <w14:ligatures w14:val="none"/>
        </w:rPr>
        <w:t xml:space="preserve">Para la estimación de los parámetros del flujo turístico, se utilizó el siguiente modelo (ecuación 1): </w:t>
      </w:r>
    </w:p>
    <w:p w14:paraId="1FFB72F9" w14:textId="77777777" w:rsidR="0049583F" w:rsidRPr="00D44E2B" w:rsidRDefault="0049583F" w:rsidP="003D0615">
      <w:pPr>
        <w:tabs>
          <w:tab w:val="left" w:pos="5420"/>
          <w:tab w:val="left" w:pos="6390"/>
        </w:tabs>
        <w:suppressAutoHyphens/>
        <w:spacing w:line="240" w:lineRule="auto"/>
        <w:ind w:firstLine="709"/>
        <w:jc w:val="both"/>
        <w:rPr>
          <w:rFonts w:ascii="Calibri" w:eastAsiaTheme="minorEastAsia" w:hAnsi="Calibri" w:cs="Calibri"/>
          <w:color w:val="000000"/>
          <w:sz w:val="24"/>
          <w:szCs w:val="24"/>
          <w14:ligatures w14:val="none"/>
        </w:rPr>
      </w:pPr>
      <w:r w:rsidRPr="00D44E2B">
        <w:rPr>
          <w:rFonts w:ascii="Calibri" w:eastAsiaTheme="minorEastAsia" w:hAnsi="Calibri" w:cs="Calibri"/>
          <w:color w:val="000000"/>
          <w:sz w:val="24"/>
          <w:szCs w:val="24"/>
          <w14:ligatures w14:val="none"/>
        </w:rPr>
        <w:tab/>
        <w:t>(1)</w:t>
      </w:r>
      <w:r w:rsidRPr="00D44E2B">
        <w:rPr>
          <w:rFonts w:ascii="Calibri" w:eastAsiaTheme="minorEastAsia" w:hAnsi="Calibri" w:cs="Calibri"/>
          <w:color w:val="000000"/>
          <w:sz w:val="24"/>
          <w:szCs w:val="24"/>
          <w14:ligatures w14:val="none"/>
        </w:rPr>
        <w:tab/>
      </w:r>
    </w:p>
    <w:p w14:paraId="0C7689BC" w14:textId="77777777" w:rsidR="0049583F" w:rsidRPr="00D44E2B" w:rsidRDefault="0049583F" w:rsidP="003D0615">
      <w:pPr>
        <w:suppressAutoHyphens/>
        <w:spacing w:line="240" w:lineRule="auto"/>
        <w:ind w:firstLine="709"/>
        <w:jc w:val="both"/>
        <w:rPr>
          <w:rFonts w:ascii="Calibri" w:eastAsiaTheme="minorEastAsia" w:hAnsi="Calibri" w:cs="Calibri"/>
          <w:b/>
          <w:bCs/>
          <w:kern w:val="0"/>
          <w:sz w:val="24"/>
          <w:szCs w:val="24"/>
          <w14:ligatures w14:val="none"/>
        </w:rPr>
      </w:pPr>
      <w:r w:rsidRPr="00D44E2B">
        <w:rPr>
          <w:rFonts w:ascii="Calibri" w:eastAsiaTheme="minorEastAsia" w:hAnsi="Calibri" w:cs="Calibri"/>
          <w:kern w:val="0"/>
          <w:sz w:val="24"/>
          <w:szCs w:val="24"/>
          <w14:ligatures w14:val="none"/>
        </w:rPr>
        <w:t>Donde</w:t>
      </w:r>
    </w:p>
    <w:p w14:paraId="3A8EAB84" w14:textId="6B7E9F6D" w:rsidR="0049583F" w:rsidRPr="00D44E2B" w:rsidRDefault="0049583F" w:rsidP="003D0615">
      <w:pPr>
        <w:suppressAutoHyphens/>
        <w:spacing w:line="240" w:lineRule="auto"/>
        <w:ind w:firstLine="709"/>
        <w:jc w:val="both"/>
        <w:rPr>
          <w:rFonts w:ascii="Calibri" w:hAnsi="Calibri" w:cs="Calibri"/>
          <w:kern w:val="0"/>
          <w:sz w:val="24"/>
          <w:szCs w:val="24"/>
          <w14:ligatures w14:val="none"/>
        </w:rPr>
      </w:pPr>
      <w:r w:rsidRPr="00D44E2B">
        <w:rPr>
          <w:rFonts w:ascii="Calibri" w:hAnsi="Calibri" w:cs="Calibri"/>
          <w:kern w:val="0"/>
          <w:sz w:val="24"/>
          <w:szCs w:val="24"/>
          <w14:ligatures w14:val="none"/>
        </w:rPr>
        <w:t>Y = Visitantes del ANP, X</w:t>
      </w:r>
      <w:r w:rsidRPr="00D44E2B">
        <w:rPr>
          <w:rFonts w:ascii="Calibri" w:hAnsi="Calibri" w:cs="Calibri"/>
          <w:kern w:val="0"/>
          <w:sz w:val="24"/>
          <w:szCs w:val="24"/>
          <w:vertAlign w:val="subscript"/>
          <w14:ligatures w14:val="none"/>
        </w:rPr>
        <w:t>1</w:t>
      </w:r>
      <w:r w:rsidRPr="00D44E2B">
        <w:rPr>
          <w:rFonts w:ascii="Calibri" w:hAnsi="Calibri" w:cs="Calibri"/>
          <w:kern w:val="0"/>
          <w:sz w:val="24"/>
          <w:szCs w:val="24"/>
          <w14:ligatures w14:val="none"/>
        </w:rPr>
        <w:t xml:space="preserve"> = </w:t>
      </w:r>
      <w:r w:rsidR="0002625A">
        <w:rPr>
          <w:rFonts w:ascii="Calibri" w:hAnsi="Calibri" w:cs="Calibri"/>
          <w:kern w:val="0"/>
          <w:sz w:val="24"/>
          <w:szCs w:val="24"/>
          <w14:ligatures w14:val="none"/>
        </w:rPr>
        <w:t>R</w:t>
      </w:r>
      <w:r w:rsidRPr="00D44E2B">
        <w:rPr>
          <w:rFonts w:ascii="Calibri" w:hAnsi="Calibri" w:cs="Calibri"/>
          <w:kern w:val="0"/>
          <w:sz w:val="24"/>
          <w:szCs w:val="24"/>
          <w14:ligatures w14:val="none"/>
        </w:rPr>
        <w:t>iesgo por salud (</w:t>
      </w:r>
      <w:r w:rsidR="00F76164">
        <w:rPr>
          <w:rFonts w:ascii="Calibri" w:hAnsi="Calibri" w:cs="Calibri"/>
          <w:kern w:val="0"/>
          <w:sz w:val="24"/>
          <w:szCs w:val="24"/>
          <w14:ligatures w14:val="none"/>
        </w:rPr>
        <w:t>COVID</w:t>
      </w:r>
      <w:r w:rsidRPr="00D44E2B">
        <w:rPr>
          <w:rFonts w:ascii="Calibri" w:hAnsi="Calibri" w:cs="Calibri"/>
          <w:kern w:val="0"/>
          <w:sz w:val="24"/>
          <w:szCs w:val="24"/>
          <w14:ligatures w14:val="none"/>
        </w:rPr>
        <w:t>), X</w:t>
      </w:r>
      <w:r w:rsidRPr="00D44E2B">
        <w:rPr>
          <w:rFonts w:ascii="Calibri" w:hAnsi="Calibri" w:cs="Calibri"/>
          <w:kern w:val="0"/>
          <w:sz w:val="24"/>
          <w:szCs w:val="24"/>
          <w:vertAlign w:val="subscript"/>
          <w14:ligatures w14:val="none"/>
        </w:rPr>
        <w:t xml:space="preserve">2 </w:t>
      </w:r>
      <w:r w:rsidRPr="00D44E2B">
        <w:rPr>
          <w:rFonts w:ascii="Calibri" w:hAnsi="Calibri" w:cs="Calibri"/>
          <w:kern w:val="0"/>
          <w:sz w:val="24"/>
          <w:szCs w:val="24"/>
          <w14:ligatures w14:val="none"/>
        </w:rPr>
        <w:t>= PIB turístico, X</w:t>
      </w:r>
      <w:r w:rsidRPr="00D44E2B">
        <w:rPr>
          <w:rFonts w:ascii="Calibri" w:hAnsi="Calibri" w:cs="Calibri"/>
          <w:kern w:val="0"/>
          <w:sz w:val="24"/>
          <w:szCs w:val="24"/>
          <w:vertAlign w:val="subscript"/>
          <w14:ligatures w14:val="none"/>
        </w:rPr>
        <w:t>3</w:t>
      </w:r>
      <w:r w:rsidRPr="00D44E2B">
        <w:rPr>
          <w:rFonts w:ascii="Calibri" w:hAnsi="Calibri" w:cs="Calibri"/>
          <w:kern w:val="0"/>
          <w:sz w:val="24"/>
          <w:szCs w:val="24"/>
          <w14:ligatures w14:val="none"/>
        </w:rPr>
        <w:t xml:space="preserve"> = Índice riesgo país, X</w:t>
      </w:r>
      <w:r w:rsidRPr="00D44E2B">
        <w:rPr>
          <w:rFonts w:ascii="Calibri" w:hAnsi="Calibri" w:cs="Calibri"/>
          <w:kern w:val="0"/>
          <w:sz w:val="24"/>
          <w:szCs w:val="24"/>
          <w:vertAlign w:val="subscript"/>
          <w14:ligatures w14:val="none"/>
        </w:rPr>
        <w:t>4</w:t>
      </w:r>
      <w:r w:rsidRPr="00D44E2B">
        <w:rPr>
          <w:rFonts w:ascii="Calibri" w:hAnsi="Calibri" w:cs="Calibri"/>
          <w:kern w:val="0"/>
          <w:sz w:val="24"/>
          <w:szCs w:val="24"/>
          <w14:ligatures w14:val="none"/>
        </w:rPr>
        <w:t xml:space="preserve"> = Designación del ANP como Patrimonio </w:t>
      </w:r>
      <w:r w:rsidR="001722A6">
        <w:rPr>
          <w:rFonts w:ascii="Calibri" w:hAnsi="Calibri" w:cs="Calibri"/>
          <w:kern w:val="0"/>
          <w:sz w:val="24"/>
          <w:szCs w:val="24"/>
          <w14:ligatures w14:val="none"/>
        </w:rPr>
        <w:t>Mundial</w:t>
      </w:r>
      <w:r w:rsidRPr="00D44E2B">
        <w:rPr>
          <w:rFonts w:ascii="Calibri" w:hAnsi="Calibri" w:cs="Calibri"/>
          <w:kern w:val="0"/>
          <w:sz w:val="24"/>
          <w:szCs w:val="24"/>
          <w14:ligatures w14:val="none"/>
        </w:rPr>
        <w:t>, X</w:t>
      </w:r>
      <w:r w:rsidRPr="00D44E2B">
        <w:rPr>
          <w:rFonts w:ascii="Calibri" w:hAnsi="Calibri" w:cs="Calibri"/>
          <w:kern w:val="0"/>
          <w:sz w:val="24"/>
          <w:szCs w:val="24"/>
          <w:vertAlign w:val="subscript"/>
          <w14:ligatures w14:val="none"/>
        </w:rPr>
        <w:t>5</w:t>
      </w:r>
      <w:r w:rsidRPr="00D44E2B">
        <w:rPr>
          <w:rFonts w:ascii="Calibri" w:hAnsi="Calibri" w:cs="Calibri"/>
          <w:kern w:val="0"/>
          <w:sz w:val="24"/>
          <w:szCs w:val="24"/>
          <w14:ligatures w14:val="none"/>
        </w:rPr>
        <w:t xml:space="preserve"> = Inflación, X</w:t>
      </w:r>
      <w:r w:rsidRPr="00D44E2B">
        <w:rPr>
          <w:rFonts w:ascii="Calibri" w:hAnsi="Calibri" w:cs="Calibri"/>
          <w:kern w:val="0"/>
          <w:sz w:val="24"/>
          <w:szCs w:val="24"/>
          <w:vertAlign w:val="subscript"/>
          <w14:ligatures w14:val="none"/>
        </w:rPr>
        <w:t>6</w:t>
      </w:r>
      <w:r w:rsidRPr="00D44E2B">
        <w:rPr>
          <w:rFonts w:ascii="Calibri" w:hAnsi="Calibri" w:cs="Calibri"/>
          <w:kern w:val="0"/>
          <w:sz w:val="24"/>
          <w:szCs w:val="24"/>
          <w14:ligatures w14:val="none"/>
        </w:rPr>
        <w:t xml:space="preserve"> = Períodos vacacionales, X</w:t>
      </w:r>
      <w:r w:rsidRPr="00D44E2B">
        <w:rPr>
          <w:rFonts w:ascii="Calibri" w:hAnsi="Calibri" w:cs="Calibri"/>
          <w:kern w:val="0"/>
          <w:sz w:val="24"/>
          <w:szCs w:val="24"/>
          <w:vertAlign w:val="subscript"/>
          <w14:ligatures w14:val="none"/>
        </w:rPr>
        <w:t>7</w:t>
      </w:r>
      <w:r w:rsidRPr="00D44E2B">
        <w:rPr>
          <w:rFonts w:ascii="Calibri" w:hAnsi="Calibri" w:cs="Calibri"/>
          <w:kern w:val="0"/>
          <w:sz w:val="24"/>
          <w:szCs w:val="24"/>
          <w14:ligatures w14:val="none"/>
        </w:rPr>
        <w:t xml:space="preserve"> = Ingreso del hogar, X</w:t>
      </w:r>
      <w:r w:rsidRPr="00D44E2B">
        <w:rPr>
          <w:rFonts w:ascii="Calibri" w:hAnsi="Calibri" w:cs="Calibri"/>
          <w:kern w:val="0"/>
          <w:sz w:val="24"/>
          <w:szCs w:val="24"/>
          <w:vertAlign w:val="subscript"/>
          <w14:ligatures w14:val="none"/>
        </w:rPr>
        <w:t xml:space="preserve">8 </w:t>
      </w:r>
      <w:r w:rsidRPr="00D44E2B">
        <w:rPr>
          <w:rFonts w:ascii="Calibri" w:hAnsi="Calibri" w:cs="Calibri"/>
          <w:kern w:val="0"/>
          <w:sz w:val="24"/>
          <w:szCs w:val="24"/>
          <w14:ligatures w14:val="none"/>
        </w:rPr>
        <w:t>= Confianza del consumidor, X</w:t>
      </w:r>
      <w:r w:rsidRPr="00D44E2B">
        <w:rPr>
          <w:rFonts w:ascii="Calibri" w:hAnsi="Calibri" w:cs="Calibri"/>
          <w:kern w:val="0"/>
          <w:sz w:val="24"/>
          <w:szCs w:val="24"/>
          <w:vertAlign w:val="subscript"/>
          <w14:ligatures w14:val="none"/>
        </w:rPr>
        <w:t xml:space="preserve">9 </w:t>
      </w:r>
      <w:r w:rsidRPr="00D44E2B">
        <w:rPr>
          <w:rFonts w:ascii="Calibri" w:hAnsi="Calibri" w:cs="Calibri"/>
          <w:kern w:val="0"/>
          <w:sz w:val="24"/>
          <w:szCs w:val="24"/>
          <w14:ligatures w14:val="none"/>
        </w:rPr>
        <w:t xml:space="preserve">= Tipo de </w:t>
      </w:r>
      <w:r w:rsidR="0063691F" w:rsidRPr="00D44E2B">
        <w:rPr>
          <w:rFonts w:ascii="Calibri" w:hAnsi="Calibri" w:cs="Calibri"/>
          <w:kern w:val="0"/>
          <w:sz w:val="24"/>
          <w:szCs w:val="24"/>
          <w14:ligatures w14:val="none"/>
        </w:rPr>
        <w:t>cambio, ε</w:t>
      </w:r>
      <w:r w:rsidRPr="00D44E2B">
        <w:rPr>
          <w:rFonts w:ascii="Calibri" w:hAnsi="Calibri" w:cs="Calibri"/>
          <w:kern w:val="0"/>
          <w:sz w:val="24"/>
          <w:szCs w:val="24"/>
          <w14:ligatures w14:val="none"/>
        </w:rPr>
        <w:t xml:space="preserve"> = Término de error. </w:t>
      </w:r>
    </w:p>
    <w:p w14:paraId="00635CC7" w14:textId="46D67B6F" w:rsidR="007B332C" w:rsidRPr="0063691F" w:rsidRDefault="0049583F" w:rsidP="003D0615">
      <w:pPr>
        <w:suppressAutoHyphens/>
        <w:spacing w:line="240" w:lineRule="auto"/>
        <w:ind w:firstLine="709"/>
        <w:jc w:val="both"/>
        <w:rPr>
          <w:rFonts w:ascii="Calibri" w:hAnsi="Calibri" w:cs="Calibri"/>
          <w:kern w:val="0"/>
          <w:sz w:val="24"/>
          <w:szCs w:val="24"/>
          <w14:ligatures w14:val="none"/>
        </w:rPr>
      </w:pPr>
      <w:r w:rsidRPr="00D44E2B">
        <w:rPr>
          <w:rFonts w:ascii="Calibri" w:hAnsi="Calibri" w:cs="Calibri"/>
          <w:kern w:val="0"/>
          <w:sz w:val="24"/>
          <w:szCs w:val="24"/>
          <w14:ligatures w14:val="none"/>
        </w:rPr>
        <w:t>El método de estimación de los coeficientes de la regresión lineal múltiple es a través del método de Mínimos Cuadrados Ordinarios, el cual minimiza los errores o la suma de residuos explicados al cuadrado.</w:t>
      </w:r>
    </w:p>
    <w:p w14:paraId="2BB755B8" w14:textId="69B57DF0" w:rsidR="0049583F" w:rsidRPr="007B487A" w:rsidRDefault="0049583F" w:rsidP="003D0615">
      <w:pPr>
        <w:pStyle w:val="Prrafodelista"/>
        <w:numPr>
          <w:ilvl w:val="0"/>
          <w:numId w:val="3"/>
        </w:numPr>
        <w:tabs>
          <w:tab w:val="left" w:pos="426"/>
        </w:tabs>
        <w:suppressAutoHyphens/>
        <w:spacing w:line="240" w:lineRule="auto"/>
        <w:ind w:left="0" w:firstLine="0"/>
        <w:rPr>
          <w:rFonts w:ascii="Calibri" w:hAnsi="Calibri" w:cs="Calibri"/>
          <w:b/>
          <w:bCs/>
          <w:kern w:val="0"/>
          <w:sz w:val="24"/>
          <w:szCs w:val="24"/>
          <w:lang w:val="es-ES"/>
          <w14:ligatures w14:val="none"/>
        </w:rPr>
      </w:pPr>
      <w:r w:rsidRPr="007B487A">
        <w:rPr>
          <w:rFonts w:ascii="Calibri" w:hAnsi="Calibri" w:cs="Calibri"/>
          <w:b/>
          <w:bCs/>
          <w:kern w:val="0"/>
          <w:sz w:val="24"/>
          <w:szCs w:val="24"/>
          <w:lang w:val="es-ES"/>
          <w14:ligatures w14:val="none"/>
        </w:rPr>
        <w:t>R</w:t>
      </w:r>
      <w:r w:rsidR="0031490E">
        <w:rPr>
          <w:rFonts w:ascii="Calibri" w:hAnsi="Calibri" w:cs="Calibri"/>
          <w:b/>
          <w:bCs/>
          <w:kern w:val="0"/>
          <w:sz w:val="24"/>
          <w:szCs w:val="24"/>
          <w:lang w:val="es-ES"/>
          <w14:ligatures w14:val="none"/>
        </w:rPr>
        <w:t>esultados</w:t>
      </w:r>
    </w:p>
    <w:p w14:paraId="4E0F54A9" w14:textId="77777777" w:rsidR="007B487A" w:rsidRPr="00D44E2B" w:rsidRDefault="007B487A" w:rsidP="003D0615">
      <w:pPr>
        <w:suppressAutoHyphens/>
        <w:spacing w:line="240" w:lineRule="auto"/>
        <w:jc w:val="both"/>
        <w:rPr>
          <w:rFonts w:ascii="Calibri" w:hAnsi="Calibri" w:cs="Calibri"/>
          <w:i/>
          <w:iCs/>
          <w:kern w:val="0"/>
          <w:sz w:val="24"/>
          <w:szCs w:val="24"/>
          <w14:ligatures w14:val="none"/>
        </w:rPr>
      </w:pPr>
      <w:r w:rsidRPr="007B332C">
        <w:rPr>
          <w:rFonts w:ascii="Calibri" w:hAnsi="Calibri" w:cs="Calibri"/>
          <w:i/>
          <w:iCs/>
          <w:kern w:val="0"/>
          <w:sz w:val="24"/>
          <w:szCs w:val="24"/>
          <w14:ligatures w14:val="none"/>
        </w:rPr>
        <w:t>Descripción del sitio de estudio</w:t>
      </w:r>
    </w:p>
    <w:p w14:paraId="40B72898" w14:textId="61AD3EB7" w:rsidR="0031490E" w:rsidRDefault="007B487A" w:rsidP="003D0615">
      <w:pPr>
        <w:suppressAutoHyphens/>
        <w:spacing w:line="240" w:lineRule="auto"/>
        <w:ind w:firstLine="709"/>
        <w:jc w:val="both"/>
        <w:rPr>
          <w:rFonts w:ascii="Calibri" w:hAnsi="Calibri" w:cs="Calibri"/>
          <w:kern w:val="0"/>
          <w:sz w:val="24"/>
          <w:szCs w:val="24"/>
          <w:lang w:val="es-ES"/>
          <w14:ligatures w14:val="none"/>
        </w:rPr>
      </w:pPr>
      <w:r w:rsidRPr="00D44E2B">
        <w:rPr>
          <w:rFonts w:ascii="Calibri" w:hAnsi="Calibri" w:cs="Calibri"/>
          <w:kern w:val="0"/>
          <w:sz w:val="24"/>
          <w:szCs w:val="24"/>
          <w:lang w:val="es-ES"/>
          <w14:ligatures w14:val="none"/>
        </w:rPr>
        <w:t>La RBPGDA fue creada por decreto presidencial el 10 de junio de 1993. Se ubica en el noroeste del estado de Sonora, México (Figura 1), y cubre parte de los municipios de Puerto Peñasco, Plutarco Elías Calles y San Luis Río Colorado, Sonora, México. Este lugar, se conforma por un campo volcánico con más de 400 conos cineríticos y diez cráteres gigantes</w:t>
      </w:r>
      <w:r w:rsidR="00241657">
        <w:rPr>
          <w:rFonts w:ascii="Calibri" w:hAnsi="Calibri" w:cs="Calibri"/>
          <w:kern w:val="0"/>
          <w:sz w:val="24"/>
          <w:szCs w:val="24"/>
          <w:lang w:val="es-ES"/>
          <w14:ligatures w14:val="none"/>
        </w:rPr>
        <w:t xml:space="preserve"> </w:t>
      </w:r>
      <w:r w:rsidRPr="00D44E2B">
        <w:rPr>
          <w:rFonts w:ascii="Calibri" w:hAnsi="Calibri" w:cs="Calibri"/>
          <w:kern w:val="0"/>
          <w:sz w:val="24"/>
          <w:szCs w:val="24"/>
          <w:lang w:val="es-ES"/>
          <w14:ligatures w14:val="none"/>
        </w:rPr>
        <w:t xml:space="preserve">tipo </w:t>
      </w:r>
      <w:proofErr w:type="spellStart"/>
      <w:r w:rsidRPr="00D44E2B">
        <w:rPr>
          <w:rFonts w:ascii="Calibri" w:hAnsi="Calibri" w:cs="Calibri"/>
          <w:kern w:val="0"/>
          <w:sz w:val="24"/>
          <w:szCs w:val="24"/>
          <w:lang w:val="es-ES"/>
          <w14:ligatures w14:val="none"/>
        </w:rPr>
        <w:t>maar</w:t>
      </w:r>
      <w:proofErr w:type="spellEnd"/>
      <w:r w:rsidRPr="00D44E2B">
        <w:rPr>
          <w:rFonts w:ascii="Calibri" w:hAnsi="Calibri" w:cs="Calibri"/>
          <w:kern w:val="0"/>
          <w:sz w:val="24"/>
          <w:szCs w:val="24"/>
          <w:lang w:val="es-ES"/>
          <w14:ligatures w14:val="none"/>
        </w:rPr>
        <w:t xml:space="preserve">, así como un campo de dunas semimóviles conocido como el Gran Desierto de Altar (SEMARNAP, </w:t>
      </w:r>
      <w:r w:rsidRPr="009D2E6B">
        <w:rPr>
          <w:rFonts w:ascii="Calibri" w:hAnsi="Calibri" w:cs="Calibri"/>
          <w:color w:val="C00000"/>
          <w:kern w:val="0"/>
          <w:sz w:val="24"/>
          <w:szCs w:val="24"/>
          <w:lang w:val="es-ES"/>
          <w14:ligatures w14:val="none"/>
        </w:rPr>
        <w:t>1995</w:t>
      </w:r>
      <w:r w:rsidRPr="00D44E2B">
        <w:rPr>
          <w:rFonts w:ascii="Calibri" w:hAnsi="Calibri" w:cs="Calibri"/>
          <w:kern w:val="0"/>
          <w:sz w:val="24"/>
          <w:szCs w:val="24"/>
          <w:lang w:val="es-ES"/>
          <w14:ligatures w14:val="none"/>
        </w:rPr>
        <w:t>).</w:t>
      </w:r>
    </w:p>
    <w:p w14:paraId="19D6F0FD" w14:textId="50FF095A" w:rsidR="0031490E" w:rsidRPr="00B13BFA" w:rsidRDefault="0031490E" w:rsidP="003D0615">
      <w:pPr>
        <w:pStyle w:val="Default"/>
        <w:rPr>
          <w:rFonts w:ascii="Calibri" w:hAnsi="Calibri" w:cs="Calibri"/>
        </w:rPr>
      </w:pPr>
      <w:r w:rsidRPr="00B13BFA">
        <w:rPr>
          <w:rFonts w:ascii="Calibri" w:hAnsi="Calibri" w:cs="Calibri"/>
          <w:b/>
          <w:bCs/>
        </w:rPr>
        <w:t xml:space="preserve">Figura 1. </w:t>
      </w:r>
      <w:r w:rsidRPr="00B13BFA">
        <w:rPr>
          <w:rFonts w:ascii="Calibri" w:hAnsi="Calibri" w:cs="Calibri"/>
        </w:rPr>
        <w:t>Ubicación de la Reserva de la Biosfera El Pinacate y Gran Desierto de Altar</w:t>
      </w:r>
    </w:p>
    <w:p w14:paraId="6EB722F9" w14:textId="77777777" w:rsidR="007B487A" w:rsidRPr="00D44E2B" w:rsidRDefault="007B487A" w:rsidP="003D0615">
      <w:pPr>
        <w:suppressAutoHyphens/>
        <w:spacing w:line="240" w:lineRule="auto"/>
        <w:ind w:firstLine="709"/>
        <w:jc w:val="center"/>
        <w:rPr>
          <w:rFonts w:ascii="Calibri" w:hAnsi="Calibri" w:cs="Calibri"/>
          <w:kern w:val="0"/>
          <w:sz w:val="24"/>
          <w:szCs w:val="24"/>
          <w:lang w:val="es-ES"/>
          <w14:ligatures w14:val="none"/>
        </w:rPr>
      </w:pPr>
      <w:r w:rsidRPr="00D44E2B">
        <w:rPr>
          <w:rFonts w:ascii="Calibri" w:hAnsi="Calibri" w:cs="Calibri"/>
          <w:noProof/>
          <w:sz w:val="24"/>
          <w:szCs w:val="24"/>
        </w:rPr>
        <w:drawing>
          <wp:inline distT="0" distB="0" distL="0" distR="0" wp14:anchorId="1B4B46D5" wp14:editId="4905DBDF">
            <wp:extent cx="3571874" cy="2400300"/>
            <wp:effectExtent l="0" t="0" r="0" b="0"/>
            <wp:docPr id="1201428670"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28670" name="Imagen 1" descr="Interfaz de usuario gráfica, Aplicación&#10;&#10;Descripción generada automáticamente"/>
                    <pic:cNvPicPr/>
                  </pic:nvPicPr>
                  <pic:blipFill rotWithShape="1">
                    <a:blip r:embed="rId8"/>
                    <a:srcRect l="23081" t="28075" r="34488" b="21210"/>
                    <a:stretch/>
                  </pic:blipFill>
                  <pic:spPr bwMode="auto">
                    <a:xfrm>
                      <a:off x="0" y="0"/>
                      <a:ext cx="3604951" cy="2422528"/>
                    </a:xfrm>
                    <a:prstGeom prst="rect">
                      <a:avLst/>
                    </a:prstGeom>
                    <a:ln>
                      <a:noFill/>
                    </a:ln>
                    <a:extLst>
                      <a:ext uri="{53640926-AAD7-44D8-BBD7-CCE9431645EC}">
                        <a14:shadowObscured xmlns:a14="http://schemas.microsoft.com/office/drawing/2010/main"/>
                      </a:ext>
                    </a:extLst>
                  </pic:spPr>
                </pic:pic>
              </a:graphicData>
            </a:graphic>
          </wp:inline>
        </w:drawing>
      </w:r>
    </w:p>
    <w:p w14:paraId="02C59A2E" w14:textId="383FD4E0" w:rsidR="007B487A" w:rsidRPr="00B13BFA" w:rsidRDefault="007B487A" w:rsidP="003D0615">
      <w:pPr>
        <w:suppressAutoHyphens/>
        <w:spacing w:line="240" w:lineRule="auto"/>
        <w:ind w:firstLine="709"/>
        <w:rPr>
          <w:rFonts w:ascii="Calibri" w:hAnsi="Calibri" w:cs="Calibri"/>
          <w:kern w:val="0"/>
          <w:sz w:val="20"/>
          <w:szCs w:val="20"/>
          <w:lang w:val="es-ES"/>
          <w14:ligatures w14:val="none"/>
        </w:rPr>
      </w:pPr>
      <w:r w:rsidRPr="00B13BFA">
        <w:rPr>
          <w:rFonts w:ascii="Calibri" w:hAnsi="Calibri" w:cs="Calibri"/>
          <w:kern w:val="0"/>
          <w:sz w:val="20"/>
          <w:szCs w:val="20"/>
          <w:lang w:val="es-ES"/>
          <w14:ligatures w14:val="none"/>
        </w:rPr>
        <w:t>Fuente: Elaboración propia</w:t>
      </w:r>
      <w:r w:rsidR="007B332C" w:rsidRPr="00B13BFA">
        <w:rPr>
          <w:rFonts w:ascii="Calibri" w:hAnsi="Calibri" w:cs="Calibri"/>
          <w:kern w:val="0"/>
          <w:sz w:val="20"/>
          <w:szCs w:val="20"/>
          <w:lang w:val="es-ES"/>
          <w14:ligatures w14:val="none"/>
        </w:rPr>
        <w:t xml:space="preserve"> con base </w:t>
      </w:r>
      <w:r w:rsidR="00821D1C" w:rsidRPr="00B13BFA">
        <w:rPr>
          <w:rFonts w:ascii="Calibri" w:hAnsi="Calibri" w:cs="Calibri"/>
          <w:kern w:val="0"/>
          <w:sz w:val="20"/>
          <w:szCs w:val="20"/>
          <w:lang w:val="es-ES"/>
          <w14:ligatures w14:val="none"/>
        </w:rPr>
        <w:t>en ArcMap 10.5</w:t>
      </w:r>
      <w:r w:rsidR="000B0FDF" w:rsidRPr="00B13BFA">
        <w:rPr>
          <w:rFonts w:ascii="Calibri" w:hAnsi="Calibri" w:cs="Calibri"/>
          <w:kern w:val="0"/>
          <w:sz w:val="20"/>
          <w:szCs w:val="20"/>
          <w:lang w:val="es-ES"/>
          <w14:ligatures w14:val="none"/>
        </w:rPr>
        <w:t>. Escala: 1</w:t>
      </w:r>
      <w:r w:rsidR="00ED65A7" w:rsidRPr="00B13BFA">
        <w:rPr>
          <w:rFonts w:ascii="Calibri" w:hAnsi="Calibri" w:cs="Calibri"/>
          <w:kern w:val="0"/>
          <w:sz w:val="20"/>
          <w:szCs w:val="20"/>
          <w:lang w:val="es-ES"/>
          <w14:ligatures w14:val="none"/>
        </w:rPr>
        <w:t>:75</w:t>
      </w:r>
      <w:r w:rsidR="000B0FDF" w:rsidRPr="00B13BFA">
        <w:rPr>
          <w:rFonts w:ascii="Calibri" w:hAnsi="Calibri" w:cs="Calibri"/>
          <w:kern w:val="0"/>
          <w:sz w:val="20"/>
          <w:szCs w:val="20"/>
          <w:lang w:val="es-ES"/>
          <w14:ligatures w14:val="none"/>
        </w:rPr>
        <w:t>,000,000</w:t>
      </w:r>
    </w:p>
    <w:p w14:paraId="3FCA652D" w14:textId="6FB677BC" w:rsidR="00B97339" w:rsidRDefault="00B97339" w:rsidP="003D0615">
      <w:pPr>
        <w:suppressAutoHyphens/>
        <w:spacing w:line="240" w:lineRule="auto"/>
        <w:ind w:firstLine="709"/>
        <w:jc w:val="both"/>
        <w:rPr>
          <w:rFonts w:ascii="Calibri" w:hAnsi="Calibri" w:cs="Calibri"/>
          <w:kern w:val="0"/>
          <w:sz w:val="24"/>
          <w:szCs w:val="24"/>
          <w:lang w:val="es-ES"/>
          <w14:ligatures w14:val="none"/>
        </w:rPr>
      </w:pPr>
      <w:r w:rsidRPr="00B97339">
        <w:rPr>
          <w:rFonts w:ascii="Calibri" w:hAnsi="Calibri" w:cs="Calibri"/>
          <w:kern w:val="0"/>
          <w:sz w:val="24"/>
          <w:szCs w:val="24"/>
          <w:lang w:val="es-ES"/>
          <w14:ligatures w14:val="none"/>
        </w:rPr>
        <w:lastRenderedPageBreak/>
        <w:t>La RBPGDA forma parte del Desierto Sonorense, considerado el desierto más biodiverso de Norteamérica y una región prioritaria de México (</w:t>
      </w:r>
      <w:proofErr w:type="spellStart"/>
      <w:r w:rsidRPr="00B97339">
        <w:rPr>
          <w:rFonts w:ascii="Calibri" w:hAnsi="Calibri" w:cs="Calibri"/>
          <w:kern w:val="0"/>
          <w:sz w:val="24"/>
          <w:szCs w:val="24"/>
          <w:lang w:val="es-ES"/>
          <w14:ligatures w14:val="none"/>
        </w:rPr>
        <w:t>Houk</w:t>
      </w:r>
      <w:proofErr w:type="spellEnd"/>
      <w:r w:rsidRPr="00B97339">
        <w:rPr>
          <w:rFonts w:ascii="Calibri" w:hAnsi="Calibri" w:cs="Calibri"/>
          <w:kern w:val="0"/>
          <w:sz w:val="24"/>
          <w:szCs w:val="24"/>
          <w:lang w:val="es-ES"/>
          <w14:ligatures w14:val="none"/>
        </w:rPr>
        <w:t xml:space="preserve">, 2000 citado en SEMARNAT, </w:t>
      </w:r>
      <w:r w:rsidRPr="00F81AA6">
        <w:rPr>
          <w:rFonts w:ascii="Calibri" w:hAnsi="Calibri" w:cs="Calibri"/>
          <w:color w:val="C00000"/>
          <w:kern w:val="0"/>
          <w:sz w:val="24"/>
          <w:szCs w:val="24"/>
          <w:lang w:val="es-ES"/>
          <w14:ligatures w14:val="none"/>
        </w:rPr>
        <w:t>2018</w:t>
      </w:r>
      <w:r w:rsidRPr="00B97339">
        <w:rPr>
          <w:rFonts w:ascii="Calibri" w:hAnsi="Calibri" w:cs="Calibri"/>
          <w:kern w:val="0"/>
          <w:sz w:val="24"/>
          <w:szCs w:val="24"/>
          <w:lang w:val="es-ES"/>
          <w14:ligatures w14:val="none"/>
        </w:rPr>
        <w:t xml:space="preserve">). Este desierto binacional se extiende por cinco estados de México y Estados Unidos y se caracteriza por un clima extremo, con temperaturas de -8.3°C a 56.7°C y precipitaciones anuales menores a 200 mm (SEMARNAP, </w:t>
      </w:r>
      <w:r w:rsidRPr="009D2E6B">
        <w:rPr>
          <w:rFonts w:ascii="Calibri" w:hAnsi="Calibri" w:cs="Calibri"/>
          <w:color w:val="C00000"/>
          <w:kern w:val="0"/>
          <w:sz w:val="24"/>
          <w:szCs w:val="24"/>
          <w:lang w:val="es-ES"/>
          <w14:ligatures w14:val="none"/>
        </w:rPr>
        <w:t>1995</w:t>
      </w:r>
      <w:r w:rsidRPr="00B97339">
        <w:rPr>
          <w:rFonts w:ascii="Calibri" w:hAnsi="Calibri" w:cs="Calibri"/>
          <w:kern w:val="0"/>
          <w:sz w:val="24"/>
          <w:szCs w:val="24"/>
          <w:lang w:val="es-ES"/>
          <w14:ligatures w14:val="none"/>
        </w:rPr>
        <w:t xml:space="preserve">). La </w:t>
      </w:r>
      <w:r w:rsidR="00F22CF3">
        <w:rPr>
          <w:rFonts w:ascii="Calibri" w:hAnsi="Calibri" w:cs="Calibri"/>
          <w:kern w:val="0"/>
          <w:sz w:val="24"/>
          <w:szCs w:val="24"/>
          <w:lang w:val="es-ES"/>
          <w14:ligatures w14:val="none"/>
        </w:rPr>
        <w:t>R</w:t>
      </w:r>
      <w:r w:rsidRPr="00B97339">
        <w:rPr>
          <w:rFonts w:ascii="Calibri" w:hAnsi="Calibri" w:cs="Calibri"/>
          <w:kern w:val="0"/>
          <w:sz w:val="24"/>
          <w:szCs w:val="24"/>
          <w:lang w:val="es-ES"/>
          <w14:ligatures w14:val="none"/>
        </w:rPr>
        <w:t>eserva alberga</w:t>
      </w:r>
      <w:r w:rsidR="00F22CF3">
        <w:rPr>
          <w:rFonts w:ascii="Calibri" w:hAnsi="Calibri" w:cs="Calibri"/>
          <w:kern w:val="0"/>
          <w:sz w:val="24"/>
          <w:szCs w:val="24"/>
          <w:lang w:val="es-ES"/>
          <w14:ligatures w14:val="none"/>
        </w:rPr>
        <w:t xml:space="preserve"> </w:t>
      </w:r>
      <w:r w:rsidRPr="00B97339">
        <w:rPr>
          <w:rFonts w:ascii="Calibri" w:hAnsi="Calibri" w:cs="Calibri"/>
          <w:kern w:val="0"/>
          <w:sz w:val="24"/>
          <w:szCs w:val="24"/>
          <w:lang w:val="es-ES"/>
          <w14:ligatures w14:val="none"/>
        </w:rPr>
        <w:t xml:space="preserve">540 especies de plantas vasculares, 44 de mamíferos, 200 de aves y 40 de reptiles, incluyendo especies endémicas, amenazadas y en peligro de extinción (SEMARNAT, </w:t>
      </w:r>
      <w:r w:rsidRPr="00F81AA6">
        <w:rPr>
          <w:rFonts w:ascii="Calibri" w:hAnsi="Calibri" w:cs="Calibri"/>
          <w:color w:val="C00000"/>
          <w:kern w:val="0"/>
          <w:sz w:val="24"/>
          <w:szCs w:val="24"/>
          <w:lang w:val="es-ES"/>
          <w14:ligatures w14:val="none"/>
        </w:rPr>
        <w:t>2018</w:t>
      </w:r>
      <w:r w:rsidRPr="00B97339">
        <w:rPr>
          <w:rFonts w:ascii="Calibri" w:hAnsi="Calibri" w:cs="Calibri"/>
          <w:kern w:val="0"/>
          <w:sz w:val="24"/>
          <w:szCs w:val="24"/>
          <w:lang w:val="es-ES"/>
          <w14:ligatures w14:val="none"/>
        </w:rPr>
        <w:t xml:space="preserve">). Además, la RBPGDA cuenta con designaciones internacionales: </w:t>
      </w:r>
      <w:r w:rsidR="003D4966">
        <w:rPr>
          <w:rFonts w:ascii="Calibri" w:hAnsi="Calibri" w:cs="Calibri"/>
          <w:kern w:val="0"/>
          <w:sz w:val="24"/>
          <w:szCs w:val="24"/>
          <w:lang w:val="es-ES"/>
          <w14:ligatures w14:val="none"/>
        </w:rPr>
        <w:t xml:space="preserve">es </w:t>
      </w:r>
      <w:r w:rsidRPr="00B97339">
        <w:rPr>
          <w:rFonts w:ascii="Calibri" w:hAnsi="Calibri" w:cs="Calibri"/>
          <w:kern w:val="0"/>
          <w:sz w:val="24"/>
          <w:szCs w:val="24"/>
          <w:lang w:val="es-ES"/>
          <w14:ligatures w14:val="none"/>
        </w:rPr>
        <w:t>Patrimonio Mundial de la UNESCO, sitio Ramsar</w:t>
      </w:r>
      <w:r w:rsidR="00F22CF3">
        <w:rPr>
          <w:rFonts w:ascii="Calibri" w:hAnsi="Calibri" w:cs="Calibri"/>
          <w:kern w:val="0"/>
          <w:sz w:val="24"/>
          <w:szCs w:val="24"/>
          <w:lang w:val="es-ES"/>
          <w14:ligatures w14:val="none"/>
        </w:rPr>
        <w:t xml:space="preserve">, y </w:t>
      </w:r>
      <w:r w:rsidRPr="00B97339">
        <w:rPr>
          <w:rFonts w:ascii="Calibri" w:hAnsi="Calibri" w:cs="Calibri"/>
          <w:kern w:val="0"/>
          <w:sz w:val="24"/>
          <w:szCs w:val="24"/>
          <w:lang w:val="es-ES"/>
          <w14:ligatures w14:val="none"/>
        </w:rPr>
        <w:t xml:space="preserve">forma parte del programa MAB El Hombre y la Biosfera (UNESCO, </w:t>
      </w:r>
      <w:r w:rsidRPr="00AD5B7C">
        <w:rPr>
          <w:rFonts w:ascii="Calibri" w:hAnsi="Calibri" w:cs="Calibri"/>
          <w:color w:val="C00000"/>
          <w:kern w:val="0"/>
          <w:sz w:val="24"/>
          <w:szCs w:val="24"/>
          <w:lang w:val="es-ES"/>
          <w14:ligatures w14:val="none"/>
        </w:rPr>
        <w:t>2023</w:t>
      </w:r>
      <w:r w:rsidR="00F60989">
        <w:rPr>
          <w:rFonts w:ascii="Calibri" w:hAnsi="Calibri" w:cs="Calibri"/>
          <w:color w:val="C00000"/>
          <w:kern w:val="0"/>
          <w:sz w:val="24"/>
          <w:szCs w:val="24"/>
          <w:lang w:val="es-ES"/>
          <w14:ligatures w14:val="none"/>
        </w:rPr>
        <w:t>b</w:t>
      </w:r>
      <w:r w:rsidRPr="00B97339">
        <w:rPr>
          <w:rFonts w:ascii="Calibri" w:hAnsi="Calibri" w:cs="Calibri"/>
          <w:kern w:val="0"/>
          <w:sz w:val="24"/>
          <w:szCs w:val="24"/>
          <w:lang w:val="es-ES"/>
          <w14:ligatures w14:val="none"/>
        </w:rPr>
        <w:t xml:space="preserve">; Ramsar, </w:t>
      </w:r>
      <w:r w:rsidRPr="009F00C2">
        <w:rPr>
          <w:rFonts w:ascii="Calibri" w:hAnsi="Calibri" w:cs="Calibri"/>
          <w:color w:val="C00000"/>
          <w:kern w:val="0"/>
          <w:sz w:val="24"/>
          <w:szCs w:val="24"/>
          <w:lang w:val="es-ES"/>
          <w14:ligatures w14:val="none"/>
        </w:rPr>
        <w:t>2023</w:t>
      </w:r>
      <w:r w:rsidRPr="00B97339">
        <w:rPr>
          <w:rFonts w:ascii="Calibri" w:hAnsi="Calibri" w:cs="Calibri"/>
          <w:kern w:val="0"/>
          <w:sz w:val="24"/>
          <w:szCs w:val="24"/>
          <w:lang w:val="es-ES"/>
          <w14:ligatures w14:val="none"/>
        </w:rPr>
        <w:t>).</w:t>
      </w:r>
    </w:p>
    <w:p w14:paraId="3360358F" w14:textId="27569622" w:rsidR="0049583F" w:rsidRPr="00D44E2B" w:rsidRDefault="0031490E" w:rsidP="003D0615">
      <w:pPr>
        <w:suppressAutoHyphens/>
        <w:spacing w:line="240" w:lineRule="auto"/>
        <w:ind w:firstLine="709"/>
        <w:jc w:val="both"/>
        <w:rPr>
          <w:rFonts w:ascii="Calibri" w:hAnsi="Calibri" w:cs="Calibri"/>
          <w:b/>
          <w:bCs/>
          <w:kern w:val="0"/>
          <w:sz w:val="24"/>
          <w:szCs w:val="24"/>
          <w:lang w:val="es-ES"/>
          <w14:ligatures w14:val="none"/>
        </w:rPr>
      </w:pPr>
      <w:r>
        <w:rPr>
          <w:rFonts w:ascii="Calibri" w:hAnsi="Calibri" w:cs="Calibri"/>
          <w:b/>
          <w:bCs/>
          <w:kern w:val="0"/>
          <w:sz w:val="24"/>
          <w:szCs w:val="24"/>
          <w:lang w:val="es-ES"/>
          <w14:ligatures w14:val="none"/>
        </w:rPr>
        <w:t xml:space="preserve">3.1 </w:t>
      </w:r>
      <w:r w:rsidR="0049583F" w:rsidRPr="00D44E2B">
        <w:rPr>
          <w:rFonts w:ascii="Calibri" w:hAnsi="Calibri" w:cs="Calibri"/>
          <w:b/>
          <w:bCs/>
          <w:kern w:val="0"/>
          <w:sz w:val="24"/>
          <w:szCs w:val="24"/>
          <w:lang w:val="es-ES"/>
          <w14:ligatures w14:val="none"/>
        </w:rPr>
        <w:t>Análisis descriptivo</w:t>
      </w:r>
    </w:p>
    <w:p w14:paraId="0CF36DE4" w14:textId="2233FC1E" w:rsidR="0049583F" w:rsidRDefault="0049583F" w:rsidP="003D0615">
      <w:pPr>
        <w:suppressAutoHyphens/>
        <w:spacing w:line="240" w:lineRule="auto"/>
        <w:ind w:firstLine="709"/>
        <w:jc w:val="both"/>
        <w:rPr>
          <w:rFonts w:ascii="Calibri" w:hAnsi="Calibri" w:cs="Calibri"/>
          <w:kern w:val="0"/>
          <w:sz w:val="24"/>
          <w:szCs w:val="24"/>
          <w:lang w:val="es-ES"/>
          <w14:ligatures w14:val="none"/>
        </w:rPr>
      </w:pPr>
      <w:r w:rsidRPr="00D44E2B">
        <w:rPr>
          <w:rFonts w:ascii="Calibri" w:hAnsi="Calibri" w:cs="Calibri"/>
          <w:kern w:val="0"/>
          <w:sz w:val="24"/>
          <w:szCs w:val="24"/>
          <w:lang w:val="es-ES"/>
          <w14:ligatures w14:val="none"/>
        </w:rPr>
        <w:t xml:space="preserve">En esta sección se presentan los resultados del análisis de las bases de datos sobre el registro de visitantes del Museo y Centro de Visitantes </w:t>
      </w:r>
      <w:proofErr w:type="spellStart"/>
      <w:r w:rsidRPr="00D44E2B">
        <w:rPr>
          <w:rFonts w:ascii="Calibri" w:hAnsi="Calibri" w:cs="Calibri"/>
          <w:kern w:val="0"/>
          <w:sz w:val="24"/>
          <w:szCs w:val="24"/>
          <w:lang w:val="es-ES"/>
          <w14:ligatures w14:val="none"/>
        </w:rPr>
        <w:t>Schuk</w:t>
      </w:r>
      <w:proofErr w:type="spellEnd"/>
      <w:r w:rsidRPr="00D44E2B">
        <w:rPr>
          <w:rFonts w:ascii="Calibri" w:hAnsi="Calibri" w:cs="Calibri"/>
          <w:kern w:val="0"/>
          <w:sz w:val="24"/>
          <w:szCs w:val="24"/>
          <w:lang w:val="es-ES"/>
          <w14:ligatures w14:val="none"/>
        </w:rPr>
        <w:t xml:space="preserve"> </w:t>
      </w:r>
      <w:proofErr w:type="spellStart"/>
      <w:r w:rsidRPr="00D44E2B">
        <w:rPr>
          <w:rFonts w:ascii="Calibri" w:hAnsi="Calibri" w:cs="Calibri"/>
          <w:kern w:val="0"/>
          <w:sz w:val="24"/>
          <w:szCs w:val="24"/>
          <w:lang w:val="es-ES"/>
          <w14:ligatures w14:val="none"/>
        </w:rPr>
        <w:t>Toak</w:t>
      </w:r>
      <w:proofErr w:type="spellEnd"/>
      <w:r w:rsidRPr="00D44E2B">
        <w:rPr>
          <w:rFonts w:ascii="Calibri" w:hAnsi="Calibri" w:cs="Calibri"/>
          <w:kern w:val="0"/>
          <w:sz w:val="24"/>
          <w:szCs w:val="24"/>
          <w:lang w:val="es-ES"/>
          <w14:ligatures w14:val="none"/>
        </w:rPr>
        <w:t>.</w:t>
      </w:r>
      <w:r w:rsidR="00B13B3C">
        <w:rPr>
          <w:rFonts w:ascii="Calibri" w:hAnsi="Calibri" w:cs="Calibri"/>
          <w:kern w:val="0"/>
          <w:sz w:val="24"/>
          <w:szCs w:val="24"/>
          <w:lang w:val="es-ES"/>
          <w14:ligatures w14:val="none"/>
        </w:rPr>
        <w:t xml:space="preserve"> La Tabla </w:t>
      </w:r>
      <w:r w:rsidR="00194902">
        <w:rPr>
          <w:rFonts w:ascii="Calibri" w:hAnsi="Calibri" w:cs="Calibri"/>
          <w:kern w:val="0"/>
          <w:sz w:val="24"/>
          <w:szCs w:val="24"/>
          <w:lang w:val="es-ES"/>
          <w14:ligatures w14:val="none"/>
        </w:rPr>
        <w:t>2</w:t>
      </w:r>
      <w:r w:rsidR="00B13B3C">
        <w:rPr>
          <w:rFonts w:ascii="Calibri" w:hAnsi="Calibri" w:cs="Calibri"/>
          <w:kern w:val="0"/>
          <w:sz w:val="24"/>
          <w:szCs w:val="24"/>
          <w:lang w:val="es-ES"/>
          <w14:ligatures w14:val="none"/>
        </w:rPr>
        <w:t xml:space="preserve"> presenta un análisis descriptivo de las variables del modelo econométrico que se utilizó:</w:t>
      </w:r>
    </w:p>
    <w:p w14:paraId="342F48C0" w14:textId="566C9873" w:rsidR="00A307C7" w:rsidRPr="00C46A11" w:rsidRDefault="00A307C7" w:rsidP="003D0615">
      <w:pPr>
        <w:suppressAutoHyphens/>
        <w:spacing w:line="240" w:lineRule="auto"/>
        <w:ind w:firstLine="709"/>
        <w:rPr>
          <w:rFonts w:ascii="Calibri" w:hAnsi="Calibri" w:cs="Calibri"/>
          <w:b/>
          <w:bCs/>
          <w:kern w:val="0"/>
          <w:sz w:val="24"/>
          <w:szCs w:val="24"/>
          <w14:ligatures w14:val="none"/>
        </w:rPr>
      </w:pPr>
      <w:r w:rsidRPr="00C46A11">
        <w:rPr>
          <w:rFonts w:ascii="Calibri" w:hAnsi="Calibri" w:cs="Calibri"/>
          <w:b/>
          <w:bCs/>
          <w:kern w:val="0"/>
          <w:sz w:val="24"/>
          <w:szCs w:val="24"/>
          <w14:ligatures w14:val="none"/>
        </w:rPr>
        <w:t xml:space="preserve">Tabla </w:t>
      </w:r>
      <w:r w:rsidR="00194902" w:rsidRPr="00C46A11">
        <w:rPr>
          <w:rFonts w:ascii="Calibri" w:hAnsi="Calibri" w:cs="Calibri"/>
          <w:b/>
          <w:bCs/>
          <w:kern w:val="0"/>
          <w:sz w:val="24"/>
          <w:szCs w:val="24"/>
          <w14:ligatures w14:val="none"/>
        </w:rPr>
        <w:t>2</w:t>
      </w:r>
      <w:r w:rsidRPr="00C46A11">
        <w:rPr>
          <w:rFonts w:ascii="Calibri" w:hAnsi="Calibri" w:cs="Calibri"/>
          <w:b/>
          <w:bCs/>
          <w:kern w:val="0"/>
          <w:sz w:val="24"/>
          <w:szCs w:val="24"/>
          <w14:ligatures w14:val="none"/>
        </w:rPr>
        <w:t xml:space="preserve">. </w:t>
      </w:r>
      <w:r w:rsidRPr="00C46A11">
        <w:rPr>
          <w:rFonts w:ascii="Calibri" w:hAnsi="Calibri" w:cs="Calibri"/>
          <w:kern w:val="0"/>
          <w:sz w:val="24"/>
          <w:szCs w:val="24"/>
          <w14:ligatures w14:val="none"/>
        </w:rPr>
        <w:t>Análisis Descriptivo</w:t>
      </w:r>
      <w:r w:rsidR="00B13B3C" w:rsidRPr="00C46A11">
        <w:rPr>
          <w:rFonts w:ascii="Calibri" w:hAnsi="Calibri" w:cs="Calibri"/>
          <w:kern w:val="0"/>
          <w:sz w:val="24"/>
          <w:szCs w:val="24"/>
          <w14:ligatures w14:val="none"/>
        </w:rPr>
        <w:t xml:space="preserve"> de las variables del modelo econométrico</w:t>
      </w:r>
    </w:p>
    <w:tbl>
      <w:tblPr>
        <w:tblW w:w="9230" w:type="dxa"/>
        <w:tblCellMar>
          <w:left w:w="70" w:type="dxa"/>
          <w:right w:w="70" w:type="dxa"/>
        </w:tblCellMar>
        <w:tblLook w:val="04A0" w:firstRow="1" w:lastRow="0" w:firstColumn="1" w:lastColumn="0" w:noHBand="0" w:noVBand="1"/>
      </w:tblPr>
      <w:tblGrid>
        <w:gridCol w:w="2127"/>
        <w:gridCol w:w="1172"/>
        <w:gridCol w:w="1508"/>
        <w:gridCol w:w="1407"/>
        <w:gridCol w:w="1508"/>
        <w:gridCol w:w="1508"/>
      </w:tblGrid>
      <w:tr w:rsidR="008F0BDD" w:rsidRPr="00977A36" w14:paraId="7B24C052" w14:textId="77777777" w:rsidTr="00E77DC6">
        <w:trPr>
          <w:trHeight w:val="283"/>
          <w:tblHeader/>
        </w:trPr>
        <w:tc>
          <w:tcPr>
            <w:tcW w:w="2127" w:type="dxa"/>
            <w:tcBorders>
              <w:top w:val="single" w:sz="8" w:space="0" w:color="auto"/>
              <w:left w:val="nil"/>
              <w:bottom w:val="single" w:sz="8" w:space="0" w:color="auto"/>
              <w:right w:val="nil"/>
            </w:tcBorders>
            <w:shd w:val="clear" w:color="FFFFFF" w:fill="auto"/>
            <w:vAlign w:val="center"/>
            <w:hideMark/>
          </w:tcPr>
          <w:p w14:paraId="49B04BCA" w14:textId="77777777" w:rsidR="008F0BDD" w:rsidRPr="00977A36" w:rsidRDefault="008F0BDD"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r w:rsidRPr="00977A36">
              <w:rPr>
                <w:rFonts w:ascii="Calibri" w:eastAsia="Times New Roman" w:hAnsi="Calibri" w:cs="Calibri"/>
                <w:b/>
                <w:bCs/>
                <w:color w:val="000000"/>
                <w:kern w:val="0"/>
                <w:sz w:val="20"/>
                <w:szCs w:val="20"/>
                <w:lang w:eastAsia="es-MX"/>
                <w14:ligatures w14:val="none"/>
              </w:rPr>
              <w:t>Variable</w:t>
            </w:r>
          </w:p>
        </w:tc>
        <w:tc>
          <w:tcPr>
            <w:tcW w:w="1172" w:type="dxa"/>
            <w:tcBorders>
              <w:top w:val="single" w:sz="8" w:space="0" w:color="auto"/>
              <w:left w:val="nil"/>
              <w:bottom w:val="single" w:sz="8" w:space="0" w:color="auto"/>
              <w:right w:val="nil"/>
            </w:tcBorders>
            <w:shd w:val="clear" w:color="FFFFFF" w:fill="auto"/>
            <w:vAlign w:val="center"/>
            <w:hideMark/>
          </w:tcPr>
          <w:p w14:paraId="0B5858FB" w14:textId="77777777" w:rsidR="008F0BDD" w:rsidRPr="00977A36" w:rsidRDefault="008F0BDD"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proofErr w:type="spellStart"/>
            <w:r w:rsidRPr="00977A36">
              <w:rPr>
                <w:rFonts w:ascii="Calibri" w:eastAsia="Times New Roman" w:hAnsi="Calibri" w:cs="Calibri"/>
                <w:b/>
                <w:bCs/>
                <w:color w:val="000000"/>
                <w:kern w:val="0"/>
                <w:sz w:val="20"/>
                <w:szCs w:val="20"/>
                <w:lang w:eastAsia="es-MX"/>
                <w14:ligatures w14:val="none"/>
              </w:rPr>
              <w:t>Obs</w:t>
            </w:r>
            <w:proofErr w:type="spellEnd"/>
          </w:p>
        </w:tc>
        <w:tc>
          <w:tcPr>
            <w:tcW w:w="1508" w:type="dxa"/>
            <w:tcBorders>
              <w:top w:val="single" w:sz="8" w:space="0" w:color="auto"/>
              <w:left w:val="nil"/>
              <w:bottom w:val="single" w:sz="8" w:space="0" w:color="auto"/>
              <w:right w:val="nil"/>
            </w:tcBorders>
            <w:shd w:val="clear" w:color="FFFFFF" w:fill="auto"/>
            <w:vAlign w:val="center"/>
            <w:hideMark/>
          </w:tcPr>
          <w:p w14:paraId="575A4B6E" w14:textId="77777777" w:rsidR="008F0BDD" w:rsidRPr="00977A36" w:rsidRDefault="008F0BDD"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r w:rsidRPr="00977A36">
              <w:rPr>
                <w:rFonts w:ascii="Calibri" w:eastAsia="Times New Roman" w:hAnsi="Calibri" w:cs="Calibri"/>
                <w:b/>
                <w:bCs/>
                <w:color w:val="000000"/>
                <w:kern w:val="0"/>
                <w:sz w:val="20"/>
                <w:szCs w:val="20"/>
                <w:lang w:eastAsia="es-MX"/>
                <w14:ligatures w14:val="none"/>
              </w:rPr>
              <w:t>Mean</w:t>
            </w:r>
          </w:p>
        </w:tc>
        <w:tc>
          <w:tcPr>
            <w:tcW w:w="1407" w:type="dxa"/>
            <w:tcBorders>
              <w:top w:val="single" w:sz="8" w:space="0" w:color="auto"/>
              <w:left w:val="nil"/>
              <w:bottom w:val="single" w:sz="8" w:space="0" w:color="auto"/>
              <w:right w:val="nil"/>
            </w:tcBorders>
            <w:shd w:val="clear" w:color="FFFFFF" w:fill="auto"/>
            <w:vAlign w:val="center"/>
            <w:hideMark/>
          </w:tcPr>
          <w:p w14:paraId="3E0CA848" w14:textId="77777777" w:rsidR="008F0BDD" w:rsidRPr="00977A36" w:rsidRDefault="008F0BDD"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proofErr w:type="spellStart"/>
            <w:r w:rsidRPr="00977A36">
              <w:rPr>
                <w:rFonts w:ascii="Calibri" w:eastAsia="Times New Roman" w:hAnsi="Calibri" w:cs="Calibri"/>
                <w:b/>
                <w:bCs/>
                <w:color w:val="000000"/>
                <w:kern w:val="0"/>
                <w:sz w:val="20"/>
                <w:szCs w:val="20"/>
                <w:lang w:eastAsia="es-MX"/>
                <w14:ligatures w14:val="none"/>
              </w:rPr>
              <w:t>Std</w:t>
            </w:r>
            <w:proofErr w:type="spellEnd"/>
            <w:r w:rsidRPr="00977A36">
              <w:rPr>
                <w:rFonts w:ascii="Calibri" w:eastAsia="Times New Roman" w:hAnsi="Calibri" w:cs="Calibri"/>
                <w:b/>
                <w:bCs/>
                <w:color w:val="000000"/>
                <w:kern w:val="0"/>
                <w:sz w:val="20"/>
                <w:szCs w:val="20"/>
                <w:lang w:eastAsia="es-MX"/>
                <w14:ligatures w14:val="none"/>
              </w:rPr>
              <w:t xml:space="preserve">. </w:t>
            </w:r>
            <w:proofErr w:type="spellStart"/>
            <w:r w:rsidRPr="00977A36">
              <w:rPr>
                <w:rFonts w:ascii="Calibri" w:eastAsia="Times New Roman" w:hAnsi="Calibri" w:cs="Calibri"/>
                <w:b/>
                <w:bCs/>
                <w:color w:val="000000"/>
                <w:kern w:val="0"/>
                <w:sz w:val="20"/>
                <w:szCs w:val="20"/>
                <w:lang w:eastAsia="es-MX"/>
                <w14:ligatures w14:val="none"/>
              </w:rPr>
              <w:t>dev</w:t>
            </w:r>
            <w:proofErr w:type="spellEnd"/>
            <w:r w:rsidRPr="00977A36">
              <w:rPr>
                <w:rFonts w:ascii="Calibri" w:eastAsia="Times New Roman" w:hAnsi="Calibri" w:cs="Calibri"/>
                <w:b/>
                <w:bCs/>
                <w:color w:val="000000"/>
                <w:kern w:val="0"/>
                <w:sz w:val="20"/>
                <w:szCs w:val="20"/>
                <w:lang w:eastAsia="es-MX"/>
                <w14:ligatures w14:val="none"/>
              </w:rPr>
              <w:t>.</w:t>
            </w:r>
          </w:p>
        </w:tc>
        <w:tc>
          <w:tcPr>
            <w:tcW w:w="1508" w:type="dxa"/>
            <w:tcBorders>
              <w:top w:val="single" w:sz="8" w:space="0" w:color="auto"/>
              <w:left w:val="nil"/>
              <w:bottom w:val="single" w:sz="8" w:space="0" w:color="auto"/>
              <w:right w:val="nil"/>
            </w:tcBorders>
            <w:shd w:val="clear" w:color="FFFFFF" w:fill="auto"/>
            <w:vAlign w:val="center"/>
            <w:hideMark/>
          </w:tcPr>
          <w:p w14:paraId="06A0AC86" w14:textId="77777777" w:rsidR="008F0BDD" w:rsidRPr="00977A36" w:rsidRDefault="008F0BDD"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r w:rsidRPr="00977A36">
              <w:rPr>
                <w:rFonts w:ascii="Calibri" w:eastAsia="Times New Roman" w:hAnsi="Calibri" w:cs="Calibri"/>
                <w:b/>
                <w:bCs/>
                <w:color w:val="000000"/>
                <w:kern w:val="0"/>
                <w:sz w:val="20"/>
                <w:szCs w:val="20"/>
                <w:lang w:eastAsia="es-MX"/>
                <w14:ligatures w14:val="none"/>
              </w:rPr>
              <w:t>Min</w:t>
            </w:r>
          </w:p>
        </w:tc>
        <w:tc>
          <w:tcPr>
            <w:tcW w:w="1508" w:type="dxa"/>
            <w:tcBorders>
              <w:top w:val="single" w:sz="8" w:space="0" w:color="auto"/>
              <w:left w:val="nil"/>
              <w:bottom w:val="single" w:sz="8" w:space="0" w:color="auto"/>
              <w:right w:val="nil"/>
            </w:tcBorders>
            <w:shd w:val="clear" w:color="FFFFFF" w:fill="auto"/>
            <w:vAlign w:val="center"/>
            <w:hideMark/>
          </w:tcPr>
          <w:p w14:paraId="5D074667" w14:textId="77777777" w:rsidR="008F0BDD" w:rsidRPr="00977A36" w:rsidRDefault="008F0BDD"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r w:rsidRPr="00977A36">
              <w:rPr>
                <w:rFonts w:ascii="Calibri" w:eastAsia="Times New Roman" w:hAnsi="Calibri" w:cs="Calibri"/>
                <w:b/>
                <w:bCs/>
                <w:color w:val="000000"/>
                <w:kern w:val="0"/>
                <w:sz w:val="20"/>
                <w:szCs w:val="20"/>
                <w:lang w:eastAsia="es-MX"/>
                <w14:ligatures w14:val="none"/>
              </w:rPr>
              <w:t>Max</w:t>
            </w:r>
          </w:p>
        </w:tc>
      </w:tr>
      <w:tr w:rsidR="008F0BDD" w:rsidRPr="00977A36" w14:paraId="3E4F926C" w14:textId="77777777" w:rsidTr="00977A36">
        <w:trPr>
          <w:trHeight w:val="283"/>
        </w:trPr>
        <w:tc>
          <w:tcPr>
            <w:tcW w:w="2127" w:type="dxa"/>
            <w:tcBorders>
              <w:top w:val="nil"/>
              <w:left w:val="nil"/>
              <w:bottom w:val="nil"/>
              <w:right w:val="nil"/>
            </w:tcBorders>
            <w:shd w:val="clear" w:color="FFFFFF" w:fill="auto"/>
            <w:hideMark/>
          </w:tcPr>
          <w:p w14:paraId="4BF30100" w14:textId="77777777" w:rsidR="008F0BDD" w:rsidRPr="00977A36" w:rsidRDefault="008F0BDD"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p>
        </w:tc>
        <w:tc>
          <w:tcPr>
            <w:tcW w:w="1172" w:type="dxa"/>
            <w:tcBorders>
              <w:top w:val="nil"/>
              <w:left w:val="nil"/>
              <w:bottom w:val="nil"/>
              <w:right w:val="nil"/>
            </w:tcBorders>
            <w:shd w:val="clear" w:color="FFFFFF" w:fill="auto"/>
            <w:hideMark/>
          </w:tcPr>
          <w:p w14:paraId="447A368A" w14:textId="77777777" w:rsidR="008F0BDD" w:rsidRPr="00977A36" w:rsidRDefault="008F0BDD" w:rsidP="003D0615">
            <w:pPr>
              <w:spacing w:after="0" w:line="240" w:lineRule="auto"/>
              <w:ind w:firstLine="709"/>
              <w:rPr>
                <w:rFonts w:ascii="Calibri" w:eastAsia="Times New Roman" w:hAnsi="Calibri" w:cs="Calibri"/>
                <w:kern w:val="0"/>
                <w:sz w:val="20"/>
                <w:szCs w:val="20"/>
                <w:lang w:eastAsia="es-MX"/>
                <w14:ligatures w14:val="none"/>
              </w:rPr>
            </w:pPr>
          </w:p>
        </w:tc>
        <w:tc>
          <w:tcPr>
            <w:tcW w:w="1508" w:type="dxa"/>
            <w:tcBorders>
              <w:top w:val="nil"/>
              <w:left w:val="nil"/>
              <w:bottom w:val="nil"/>
              <w:right w:val="nil"/>
            </w:tcBorders>
            <w:shd w:val="clear" w:color="FFFFFF" w:fill="auto"/>
            <w:hideMark/>
          </w:tcPr>
          <w:p w14:paraId="1F8B284C" w14:textId="77777777" w:rsidR="008F0BDD" w:rsidRPr="00977A36" w:rsidRDefault="008F0BDD" w:rsidP="003D0615">
            <w:pPr>
              <w:spacing w:after="0" w:line="240" w:lineRule="auto"/>
              <w:ind w:firstLine="709"/>
              <w:rPr>
                <w:rFonts w:ascii="Calibri" w:eastAsia="Times New Roman" w:hAnsi="Calibri" w:cs="Calibri"/>
                <w:kern w:val="0"/>
                <w:sz w:val="20"/>
                <w:szCs w:val="20"/>
                <w:lang w:eastAsia="es-MX"/>
                <w14:ligatures w14:val="none"/>
              </w:rPr>
            </w:pPr>
          </w:p>
        </w:tc>
        <w:tc>
          <w:tcPr>
            <w:tcW w:w="1407" w:type="dxa"/>
            <w:tcBorders>
              <w:top w:val="nil"/>
              <w:left w:val="nil"/>
              <w:bottom w:val="nil"/>
              <w:right w:val="nil"/>
            </w:tcBorders>
            <w:shd w:val="clear" w:color="FFFFFF" w:fill="auto"/>
            <w:hideMark/>
          </w:tcPr>
          <w:p w14:paraId="3895AF1F" w14:textId="77777777" w:rsidR="008F0BDD" w:rsidRPr="00977A36" w:rsidRDefault="008F0BDD" w:rsidP="003D0615">
            <w:pPr>
              <w:spacing w:after="0" w:line="240" w:lineRule="auto"/>
              <w:ind w:firstLine="709"/>
              <w:rPr>
                <w:rFonts w:ascii="Calibri" w:eastAsia="Times New Roman" w:hAnsi="Calibri" w:cs="Calibri"/>
                <w:kern w:val="0"/>
                <w:sz w:val="20"/>
                <w:szCs w:val="20"/>
                <w:lang w:eastAsia="es-MX"/>
                <w14:ligatures w14:val="none"/>
              </w:rPr>
            </w:pPr>
          </w:p>
        </w:tc>
        <w:tc>
          <w:tcPr>
            <w:tcW w:w="1508" w:type="dxa"/>
            <w:tcBorders>
              <w:top w:val="nil"/>
              <w:left w:val="nil"/>
              <w:bottom w:val="nil"/>
              <w:right w:val="nil"/>
            </w:tcBorders>
            <w:shd w:val="clear" w:color="FFFFFF" w:fill="auto"/>
            <w:hideMark/>
          </w:tcPr>
          <w:p w14:paraId="616C04FD" w14:textId="77777777" w:rsidR="008F0BDD" w:rsidRPr="00977A36" w:rsidRDefault="008F0BDD" w:rsidP="003D0615">
            <w:pPr>
              <w:spacing w:after="0" w:line="240" w:lineRule="auto"/>
              <w:ind w:firstLine="709"/>
              <w:rPr>
                <w:rFonts w:ascii="Calibri" w:eastAsia="Times New Roman" w:hAnsi="Calibri" w:cs="Calibri"/>
                <w:kern w:val="0"/>
                <w:sz w:val="20"/>
                <w:szCs w:val="20"/>
                <w:lang w:eastAsia="es-MX"/>
                <w14:ligatures w14:val="none"/>
              </w:rPr>
            </w:pPr>
          </w:p>
        </w:tc>
        <w:tc>
          <w:tcPr>
            <w:tcW w:w="1508" w:type="dxa"/>
            <w:tcBorders>
              <w:top w:val="nil"/>
              <w:left w:val="nil"/>
              <w:bottom w:val="nil"/>
              <w:right w:val="nil"/>
            </w:tcBorders>
            <w:shd w:val="clear" w:color="FFFFFF" w:fill="auto"/>
            <w:hideMark/>
          </w:tcPr>
          <w:p w14:paraId="080837C1" w14:textId="77777777" w:rsidR="008F0BDD" w:rsidRPr="00977A36" w:rsidRDefault="008F0BDD" w:rsidP="003D0615">
            <w:pPr>
              <w:spacing w:after="0" w:line="240" w:lineRule="auto"/>
              <w:ind w:firstLine="709"/>
              <w:rPr>
                <w:rFonts w:ascii="Calibri" w:eastAsia="Times New Roman" w:hAnsi="Calibri" w:cs="Calibri"/>
                <w:kern w:val="0"/>
                <w:sz w:val="20"/>
                <w:szCs w:val="20"/>
                <w:lang w:eastAsia="es-MX"/>
                <w14:ligatures w14:val="none"/>
              </w:rPr>
            </w:pPr>
          </w:p>
        </w:tc>
      </w:tr>
      <w:tr w:rsidR="008F0BDD" w:rsidRPr="00977A36" w14:paraId="0C02B40C" w14:textId="77777777" w:rsidTr="00977A36">
        <w:trPr>
          <w:trHeight w:val="283"/>
        </w:trPr>
        <w:tc>
          <w:tcPr>
            <w:tcW w:w="2127" w:type="dxa"/>
            <w:tcBorders>
              <w:top w:val="nil"/>
              <w:left w:val="nil"/>
              <w:bottom w:val="nil"/>
              <w:right w:val="nil"/>
            </w:tcBorders>
            <w:shd w:val="clear" w:color="FFFFFF" w:fill="auto"/>
            <w:vAlign w:val="center"/>
            <w:hideMark/>
          </w:tcPr>
          <w:p w14:paraId="0DB112A1" w14:textId="77777777" w:rsidR="008F0BDD" w:rsidRPr="00977A36" w:rsidRDefault="008F0BDD" w:rsidP="003D0615">
            <w:pPr>
              <w:spacing w:after="0" w:line="240" w:lineRule="auto"/>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Visitas</w:t>
            </w:r>
          </w:p>
        </w:tc>
        <w:tc>
          <w:tcPr>
            <w:tcW w:w="1172" w:type="dxa"/>
            <w:tcBorders>
              <w:top w:val="nil"/>
              <w:left w:val="nil"/>
              <w:bottom w:val="nil"/>
              <w:right w:val="nil"/>
            </w:tcBorders>
            <w:shd w:val="clear" w:color="FFFFFF" w:fill="auto"/>
            <w:vAlign w:val="center"/>
            <w:hideMark/>
          </w:tcPr>
          <w:p w14:paraId="5D245259" w14:textId="77777777" w:rsidR="008F0BDD" w:rsidRPr="00977A36"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46</w:t>
            </w:r>
          </w:p>
        </w:tc>
        <w:tc>
          <w:tcPr>
            <w:tcW w:w="1508" w:type="dxa"/>
            <w:tcBorders>
              <w:top w:val="nil"/>
              <w:left w:val="nil"/>
              <w:bottom w:val="nil"/>
              <w:right w:val="nil"/>
            </w:tcBorders>
            <w:shd w:val="clear" w:color="FFFFFF" w:fill="auto"/>
            <w:vAlign w:val="center"/>
            <w:hideMark/>
          </w:tcPr>
          <w:p w14:paraId="55781272"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2180.1</w:t>
            </w:r>
          </w:p>
        </w:tc>
        <w:tc>
          <w:tcPr>
            <w:tcW w:w="1407" w:type="dxa"/>
            <w:tcBorders>
              <w:top w:val="nil"/>
              <w:left w:val="nil"/>
              <w:bottom w:val="nil"/>
              <w:right w:val="nil"/>
            </w:tcBorders>
            <w:shd w:val="clear" w:color="FFFFFF" w:fill="auto"/>
            <w:vAlign w:val="center"/>
            <w:hideMark/>
          </w:tcPr>
          <w:p w14:paraId="7A6891C0"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965.6</w:t>
            </w:r>
          </w:p>
        </w:tc>
        <w:tc>
          <w:tcPr>
            <w:tcW w:w="1508" w:type="dxa"/>
            <w:tcBorders>
              <w:top w:val="nil"/>
              <w:left w:val="nil"/>
              <w:bottom w:val="nil"/>
              <w:right w:val="nil"/>
            </w:tcBorders>
            <w:shd w:val="clear" w:color="FFFFFF" w:fill="auto"/>
            <w:vAlign w:val="center"/>
            <w:hideMark/>
          </w:tcPr>
          <w:p w14:paraId="18AC7A00"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0</w:t>
            </w:r>
          </w:p>
        </w:tc>
        <w:tc>
          <w:tcPr>
            <w:tcW w:w="1508" w:type="dxa"/>
            <w:tcBorders>
              <w:top w:val="nil"/>
              <w:left w:val="nil"/>
              <w:bottom w:val="nil"/>
              <w:right w:val="nil"/>
            </w:tcBorders>
            <w:shd w:val="clear" w:color="FFFFFF" w:fill="auto"/>
            <w:vAlign w:val="center"/>
            <w:hideMark/>
          </w:tcPr>
          <w:p w14:paraId="2BD1003B"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4012</w:t>
            </w:r>
          </w:p>
        </w:tc>
      </w:tr>
      <w:tr w:rsidR="008F0BDD" w:rsidRPr="00977A36" w14:paraId="5D21504D" w14:textId="77777777" w:rsidTr="00977A36">
        <w:trPr>
          <w:trHeight w:val="283"/>
        </w:trPr>
        <w:tc>
          <w:tcPr>
            <w:tcW w:w="2127" w:type="dxa"/>
            <w:tcBorders>
              <w:top w:val="nil"/>
              <w:left w:val="nil"/>
              <w:bottom w:val="nil"/>
              <w:right w:val="nil"/>
            </w:tcBorders>
            <w:shd w:val="clear" w:color="FFFFFF" w:fill="auto"/>
            <w:vAlign w:val="center"/>
            <w:hideMark/>
          </w:tcPr>
          <w:p w14:paraId="5EC1F751" w14:textId="77777777" w:rsidR="008F0BDD" w:rsidRPr="00977A36" w:rsidRDefault="008F0BDD" w:rsidP="003D0615">
            <w:pPr>
              <w:spacing w:after="0" w:line="240" w:lineRule="auto"/>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PIB turístico</w:t>
            </w:r>
          </w:p>
        </w:tc>
        <w:tc>
          <w:tcPr>
            <w:tcW w:w="1172" w:type="dxa"/>
            <w:tcBorders>
              <w:top w:val="nil"/>
              <w:left w:val="nil"/>
              <w:bottom w:val="nil"/>
              <w:right w:val="nil"/>
            </w:tcBorders>
            <w:shd w:val="clear" w:color="FFFFFF" w:fill="auto"/>
            <w:vAlign w:val="center"/>
            <w:hideMark/>
          </w:tcPr>
          <w:p w14:paraId="5239B8CA" w14:textId="77777777" w:rsidR="008F0BDD" w:rsidRPr="00977A36"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46</w:t>
            </w:r>
          </w:p>
        </w:tc>
        <w:tc>
          <w:tcPr>
            <w:tcW w:w="1508" w:type="dxa"/>
            <w:tcBorders>
              <w:top w:val="nil"/>
              <w:left w:val="nil"/>
              <w:bottom w:val="nil"/>
              <w:right w:val="nil"/>
            </w:tcBorders>
            <w:shd w:val="clear" w:color="FFFFFF" w:fill="auto"/>
            <w:vAlign w:val="center"/>
            <w:hideMark/>
          </w:tcPr>
          <w:p w14:paraId="0B72F979" w14:textId="6EBCFADA" w:rsidR="008F0BDD" w:rsidRPr="00977A36" w:rsidRDefault="006D2184"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6.31</w:t>
            </w:r>
          </w:p>
        </w:tc>
        <w:tc>
          <w:tcPr>
            <w:tcW w:w="1407" w:type="dxa"/>
            <w:tcBorders>
              <w:top w:val="nil"/>
              <w:left w:val="nil"/>
              <w:bottom w:val="nil"/>
              <w:right w:val="nil"/>
            </w:tcBorders>
            <w:shd w:val="clear" w:color="FFFFFF" w:fill="auto"/>
            <w:vAlign w:val="center"/>
            <w:hideMark/>
          </w:tcPr>
          <w:p w14:paraId="54D95380" w14:textId="3CC2DDED" w:rsidR="008F0BDD" w:rsidRPr="00977A36" w:rsidRDefault="006D2184"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0.67</w:t>
            </w:r>
          </w:p>
        </w:tc>
        <w:tc>
          <w:tcPr>
            <w:tcW w:w="1508" w:type="dxa"/>
            <w:tcBorders>
              <w:top w:val="nil"/>
              <w:left w:val="nil"/>
              <w:bottom w:val="nil"/>
              <w:right w:val="nil"/>
            </w:tcBorders>
            <w:shd w:val="clear" w:color="FFFFFF" w:fill="auto"/>
            <w:vAlign w:val="center"/>
            <w:hideMark/>
          </w:tcPr>
          <w:p w14:paraId="30652659" w14:textId="195B00B4" w:rsidR="008F0BDD" w:rsidRPr="00977A36" w:rsidRDefault="006D2184"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3.65</w:t>
            </w:r>
          </w:p>
        </w:tc>
        <w:tc>
          <w:tcPr>
            <w:tcW w:w="1508" w:type="dxa"/>
            <w:tcBorders>
              <w:top w:val="nil"/>
              <w:left w:val="nil"/>
              <w:bottom w:val="nil"/>
              <w:right w:val="nil"/>
            </w:tcBorders>
            <w:shd w:val="clear" w:color="FFFFFF" w:fill="auto"/>
            <w:vAlign w:val="center"/>
            <w:hideMark/>
          </w:tcPr>
          <w:p w14:paraId="337CFDCC" w14:textId="2A946A85" w:rsidR="008F0BDD" w:rsidRPr="00977A36" w:rsidRDefault="006D2184"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7.15</w:t>
            </w:r>
          </w:p>
        </w:tc>
      </w:tr>
      <w:tr w:rsidR="008F0BDD" w:rsidRPr="00977A36" w14:paraId="042FE197" w14:textId="77777777" w:rsidTr="00977A36">
        <w:trPr>
          <w:trHeight w:val="283"/>
        </w:trPr>
        <w:tc>
          <w:tcPr>
            <w:tcW w:w="2127" w:type="dxa"/>
            <w:tcBorders>
              <w:top w:val="nil"/>
              <w:left w:val="nil"/>
              <w:bottom w:val="nil"/>
              <w:right w:val="nil"/>
            </w:tcBorders>
            <w:shd w:val="clear" w:color="FFFFFF" w:fill="auto"/>
            <w:vAlign w:val="center"/>
            <w:hideMark/>
          </w:tcPr>
          <w:p w14:paraId="621287F7" w14:textId="77777777" w:rsidR="008F0BDD" w:rsidRPr="00977A36" w:rsidRDefault="008F0BDD" w:rsidP="003D0615">
            <w:pPr>
              <w:spacing w:after="0" w:line="240" w:lineRule="auto"/>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Riesgo país</w:t>
            </w:r>
          </w:p>
        </w:tc>
        <w:tc>
          <w:tcPr>
            <w:tcW w:w="1172" w:type="dxa"/>
            <w:tcBorders>
              <w:top w:val="nil"/>
              <w:left w:val="nil"/>
              <w:bottom w:val="nil"/>
              <w:right w:val="nil"/>
            </w:tcBorders>
            <w:shd w:val="clear" w:color="FFFFFF" w:fill="auto"/>
            <w:vAlign w:val="center"/>
            <w:hideMark/>
          </w:tcPr>
          <w:p w14:paraId="7BF70171" w14:textId="77777777" w:rsidR="008F0BDD" w:rsidRPr="00977A36"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46</w:t>
            </w:r>
          </w:p>
        </w:tc>
        <w:tc>
          <w:tcPr>
            <w:tcW w:w="1508" w:type="dxa"/>
            <w:tcBorders>
              <w:top w:val="nil"/>
              <w:left w:val="nil"/>
              <w:bottom w:val="nil"/>
              <w:right w:val="nil"/>
            </w:tcBorders>
            <w:shd w:val="clear" w:color="FFFFFF" w:fill="auto"/>
            <w:vAlign w:val="center"/>
            <w:hideMark/>
          </w:tcPr>
          <w:p w14:paraId="4DFF4FC6"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191</w:t>
            </w:r>
          </w:p>
        </w:tc>
        <w:tc>
          <w:tcPr>
            <w:tcW w:w="1407" w:type="dxa"/>
            <w:tcBorders>
              <w:top w:val="nil"/>
              <w:left w:val="nil"/>
              <w:bottom w:val="nil"/>
              <w:right w:val="nil"/>
            </w:tcBorders>
            <w:shd w:val="clear" w:color="FFFFFF" w:fill="auto"/>
            <w:vAlign w:val="center"/>
            <w:hideMark/>
          </w:tcPr>
          <w:p w14:paraId="56A4455B"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41</w:t>
            </w:r>
          </w:p>
        </w:tc>
        <w:tc>
          <w:tcPr>
            <w:tcW w:w="1508" w:type="dxa"/>
            <w:tcBorders>
              <w:top w:val="nil"/>
              <w:left w:val="nil"/>
              <w:bottom w:val="nil"/>
              <w:right w:val="nil"/>
            </w:tcBorders>
            <w:shd w:val="clear" w:color="FFFFFF" w:fill="auto"/>
            <w:vAlign w:val="center"/>
            <w:hideMark/>
          </w:tcPr>
          <w:p w14:paraId="77059982"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131.3</w:t>
            </w:r>
          </w:p>
        </w:tc>
        <w:tc>
          <w:tcPr>
            <w:tcW w:w="1508" w:type="dxa"/>
            <w:tcBorders>
              <w:top w:val="nil"/>
              <w:left w:val="nil"/>
              <w:bottom w:val="nil"/>
              <w:right w:val="nil"/>
            </w:tcBorders>
            <w:shd w:val="clear" w:color="FFFFFF" w:fill="auto"/>
            <w:vAlign w:val="center"/>
            <w:hideMark/>
          </w:tcPr>
          <w:p w14:paraId="2CDF0E2F"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352.7</w:t>
            </w:r>
          </w:p>
        </w:tc>
      </w:tr>
      <w:tr w:rsidR="008F0BDD" w:rsidRPr="00977A36" w14:paraId="549BA897" w14:textId="77777777" w:rsidTr="00977A36">
        <w:trPr>
          <w:trHeight w:val="283"/>
        </w:trPr>
        <w:tc>
          <w:tcPr>
            <w:tcW w:w="2127" w:type="dxa"/>
            <w:tcBorders>
              <w:top w:val="nil"/>
              <w:left w:val="nil"/>
              <w:bottom w:val="nil"/>
              <w:right w:val="nil"/>
            </w:tcBorders>
            <w:shd w:val="clear" w:color="FFFFFF" w:fill="auto"/>
            <w:vAlign w:val="center"/>
            <w:hideMark/>
          </w:tcPr>
          <w:p w14:paraId="3BEE2064" w14:textId="0AFB9F92" w:rsidR="008F0BDD" w:rsidRPr="00977A36" w:rsidRDefault="008F0BDD" w:rsidP="003D0615">
            <w:pPr>
              <w:spacing w:after="0" w:line="240" w:lineRule="auto"/>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 xml:space="preserve">Confianza </w:t>
            </w:r>
            <w:r w:rsidR="00DA6F6D" w:rsidRPr="00977A36">
              <w:rPr>
                <w:rFonts w:ascii="Calibri" w:eastAsia="Times New Roman" w:hAnsi="Calibri" w:cs="Calibri"/>
                <w:color w:val="000000"/>
                <w:kern w:val="0"/>
                <w:sz w:val="20"/>
                <w:szCs w:val="20"/>
                <w:lang w:eastAsia="es-MX"/>
                <w14:ligatures w14:val="none"/>
              </w:rPr>
              <w:t xml:space="preserve">del </w:t>
            </w:r>
            <w:r w:rsidRPr="00977A36">
              <w:rPr>
                <w:rFonts w:ascii="Calibri" w:eastAsia="Times New Roman" w:hAnsi="Calibri" w:cs="Calibri"/>
                <w:color w:val="000000"/>
                <w:kern w:val="0"/>
                <w:sz w:val="20"/>
                <w:szCs w:val="20"/>
                <w:lang w:eastAsia="es-MX"/>
                <w14:ligatures w14:val="none"/>
              </w:rPr>
              <w:t>consumidor</w:t>
            </w:r>
          </w:p>
        </w:tc>
        <w:tc>
          <w:tcPr>
            <w:tcW w:w="1172" w:type="dxa"/>
            <w:tcBorders>
              <w:top w:val="nil"/>
              <w:left w:val="nil"/>
              <w:bottom w:val="nil"/>
              <w:right w:val="nil"/>
            </w:tcBorders>
            <w:shd w:val="clear" w:color="FFFFFF" w:fill="auto"/>
            <w:vAlign w:val="center"/>
            <w:hideMark/>
          </w:tcPr>
          <w:p w14:paraId="395D818F" w14:textId="77777777" w:rsidR="008F0BDD" w:rsidRPr="00977A36"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46</w:t>
            </w:r>
          </w:p>
        </w:tc>
        <w:tc>
          <w:tcPr>
            <w:tcW w:w="1508" w:type="dxa"/>
            <w:tcBorders>
              <w:top w:val="nil"/>
              <w:left w:val="nil"/>
              <w:bottom w:val="nil"/>
              <w:right w:val="nil"/>
            </w:tcBorders>
            <w:shd w:val="clear" w:color="FFFFFF" w:fill="auto"/>
            <w:vAlign w:val="center"/>
            <w:hideMark/>
          </w:tcPr>
          <w:p w14:paraId="53400DA2"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38.1</w:t>
            </w:r>
          </w:p>
        </w:tc>
        <w:tc>
          <w:tcPr>
            <w:tcW w:w="1407" w:type="dxa"/>
            <w:tcBorders>
              <w:top w:val="nil"/>
              <w:left w:val="nil"/>
              <w:bottom w:val="nil"/>
              <w:right w:val="nil"/>
            </w:tcBorders>
            <w:shd w:val="clear" w:color="FFFFFF" w:fill="auto"/>
            <w:vAlign w:val="center"/>
            <w:hideMark/>
          </w:tcPr>
          <w:p w14:paraId="5B57F304"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3.2</w:t>
            </w:r>
          </w:p>
        </w:tc>
        <w:tc>
          <w:tcPr>
            <w:tcW w:w="1508" w:type="dxa"/>
            <w:tcBorders>
              <w:top w:val="nil"/>
              <w:left w:val="nil"/>
              <w:bottom w:val="nil"/>
              <w:right w:val="nil"/>
            </w:tcBorders>
            <w:shd w:val="clear" w:color="FFFFFF" w:fill="auto"/>
            <w:vAlign w:val="center"/>
            <w:hideMark/>
          </w:tcPr>
          <w:p w14:paraId="5812C142"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31.6</w:t>
            </w:r>
          </w:p>
        </w:tc>
        <w:tc>
          <w:tcPr>
            <w:tcW w:w="1508" w:type="dxa"/>
            <w:tcBorders>
              <w:top w:val="nil"/>
              <w:left w:val="nil"/>
              <w:bottom w:val="nil"/>
              <w:right w:val="nil"/>
            </w:tcBorders>
            <w:shd w:val="clear" w:color="FFFFFF" w:fill="auto"/>
            <w:vAlign w:val="center"/>
            <w:hideMark/>
          </w:tcPr>
          <w:p w14:paraId="628CF4E4"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47</w:t>
            </w:r>
          </w:p>
        </w:tc>
      </w:tr>
      <w:tr w:rsidR="008F0BDD" w:rsidRPr="00977A36" w14:paraId="447E6BB7" w14:textId="77777777" w:rsidTr="00977A36">
        <w:trPr>
          <w:trHeight w:val="283"/>
        </w:trPr>
        <w:tc>
          <w:tcPr>
            <w:tcW w:w="2127" w:type="dxa"/>
            <w:tcBorders>
              <w:top w:val="nil"/>
              <w:left w:val="nil"/>
              <w:bottom w:val="nil"/>
              <w:right w:val="nil"/>
            </w:tcBorders>
            <w:shd w:val="clear" w:color="FFFFFF" w:fill="auto"/>
            <w:vAlign w:val="center"/>
            <w:hideMark/>
          </w:tcPr>
          <w:p w14:paraId="4BF43BE7" w14:textId="77777777" w:rsidR="008F0BDD" w:rsidRPr="00977A36" w:rsidRDefault="008F0BDD" w:rsidP="003D0615">
            <w:pPr>
              <w:spacing w:after="0" w:line="240" w:lineRule="auto"/>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Ingreso</w:t>
            </w:r>
            <w:r w:rsidR="003F3437" w:rsidRPr="00977A36">
              <w:rPr>
                <w:rFonts w:ascii="Calibri" w:eastAsia="Times New Roman" w:hAnsi="Calibri" w:cs="Calibri"/>
                <w:color w:val="000000"/>
                <w:kern w:val="0"/>
                <w:sz w:val="20"/>
                <w:szCs w:val="20"/>
                <w:lang w:eastAsia="es-MX"/>
                <w14:ligatures w14:val="none"/>
              </w:rPr>
              <w:t xml:space="preserve"> del hogar</w:t>
            </w:r>
          </w:p>
          <w:p w14:paraId="729F99EB" w14:textId="03369B94" w:rsidR="00DA6F6D" w:rsidRPr="00977A36" w:rsidRDefault="00DA6F6D" w:rsidP="003D0615">
            <w:pPr>
              <w:spacing w:after="0" w:line="240" w:lineRule="auto"/>
              <w:rPr>
                <w:rFonts w:ascii="Calibri" w:eastAsia="Times New Roman" w:hAnsi="Calibri" w:cs="Calibri"/>
                <w:color w:val="000000"/>
                <w:kern w:val="0"/>
                <w:sz w:val="20"/>
                <w:szCs w:val="20"/>
                <w:lang w:eastAsia="es-MX"/>
                <w14:ligatures w14:val="none"/>
              </w:rPr>
            </w:pPr>
          </w:p>
        </w:tc>
        <w:tc>
          <w:tcPr>
            <w:tcW w:w="1172" w:type="dxa"/>
            <w:tcBorders>
              <w:top w:val="nil"/>
              <w:left w:val="nil"/>
              <w:bottom w:val="nil"/>
              <w:right w:val="nil"/>
            </w:tcBorders>
            <w:shd w:val="clear" w:color="FFFFFF" w:fill="auto"/>
            <w:vAlign w:val="center"/>
            <w:hideMark/>
          </w:tcPr>
          <w:p w14:paraId="6FE0D03E" w14:textId="77777777" w:rsidR="008F0BDD" w:rsidRPr="00977A36"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46</w:t>
            </w:r>
          </w:p>
        </w:tc>
        <w:tc>
          <w:tcPr>
            <w:tcW w:w="1508" w:type="dxa"/>
            <w:tcBorders>
              <w:top w:val="nil"/>
              <w:left w:val="nil"/>
              <w:bottom w:val="nil"/>
              <w:right w:val="nil"/>
            </w:tcBorders>
            <w:shd w:val="clear" w:color="FFFFFF" w:fill="auto"/>
            <w:vAlign w:val="center"/>
            <w:hideMark/>
          </w:tcPr>
          <w:p w14:paraId="1EA1CEBD" w14:textId="6F1C697B" w:rsidR="008F0BDD" w:rsidRPr="00977A36" w:rsidRDefault="006D2184"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2919.51</w:t>
            </w:r>
          </w:p>
        </w:tc>
        <w:tc>
          <w:tcPr>
            <w:tcW w:w="1407" w:type="dxa"/>
            <w:tcBorders>
              <w:top w:val="nil"/>
              <w:left w:val="nil"/>
              <w:bottom w:val="nil"/>
              <w:right w:val="nil"/>
            </w:tcBorders>
            <w:shd w:val="clear" w:color="FFFFFF" w:fill="auto"/>
            <w:vAlign w:val="center"/>
            <w:hideMark/>
          </w:tcPr>
          <w:p w14:paraId="4084F802" w14:textId="64E84A33" w:rsidR="008F0BDD" w:rsidRPr="00977A36" w:rsidRDefault="006D2184"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382.73</w:t>
            </w:r>
          </w:p>
        </w:tc>
        <w:tc>
          <w:tcPr>
            <w:tcW w:w="1508" w:type="dxa"/>
            <w:tcBorders>
              <w:top w:val="nil"/>
              <w:left w:val="nil"/>
              <w:bottom w:val="nil"/>
              <w:right w:val="nil"/>
            </w:tcBorders>
            <w:shd w:val="clear" w:color="FFFFFF" w:fill="auto"/>
            <w:vAlign w:val="center"/>
            <w:hideMark/>
          </w:tcPr>
          <w:p w14:paraId="482B4C47" w14:textId="30077E02" w:rsidR="008F0BDD" w:rsidRPr="00977A36" w:rsidRDefault="006D2184"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2479.25</w:t>
            </w:r>
          </w:p>
        </w:tc>
        <w:tc>
          <w:tcPr>
            <w:tcW w:w="1508" w:type="dxa"/>
            <w:tcBorders>
              <w:top w:val="nil"/>
              <w:left w:val="nil"/>
              <w:bottom w:val="nil"/>
              <w:right w:val="nil"/>
            </w:tcBorders>
            <w:shd w:val="clear" w:color="FFFFFF" w:fill="auto"/>
            <w:vAlign w:val="center"/>
            <w:hideMark/>
          </w:tcPr>
          <w:p w14:paraId="401A1AAE" w14:textId="2A79E2FA" w:rsidR="008F0BDD" w:rsidRPr="00977A36" w:rsidRDefault="006D2184"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3477.35</w:t>
            </w:r>
          </w:p>
        </w:tc>
      </w:tr>
      <w:tr w:rsidR="008F0BDD" w:rsidRPr="00977A36" w14:paraId="207C247B" w14:textId="77777777" w:rsidTr="00977A36">
        <w:trPr>
          <w:trHeight w:val="283"/>
        </w:trPr>
        <w:tc>
          <w:tcPr>
            <w:tcW w:w="2127" w:type="dxa"/>
            <w:tcBorders>
              <w:top w:val="nil"/>
              <w:left w:val="nil"/>
              <w:bottom w:val="nil"/>
              <w:right w:val="nil"/>
            </w:tcBorders>
            <w:shd w:val="clear" w:color="FFFFFF" w:fill="auto"/>
            <w:vAlign w:val="center"/>
            <w:hideMark/>
          </w:tcPr>
          <w:p w14:paraId="40F7118A" w14:textId="77777777" w:rsidR="008F0BDD" w:rsidRPr="00977A36" w:rsidRDefault="008F0BDD" w:rsidP="003D0615">
            <w:pPr>
              <w:spacing w:after="0" w:line="240" w:lineRule="auto"/>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Inflación</w:t>
            </w:r>
          </w:p>
        </w:tc>
        <w:tc>
          <w:tcPr>
            <w:tcW w:w="1172" w:type="dxa"/>
            <w:tcBorders>
              <w:top w:val="nil"/>
              <w:left w:val="nil"/>
              <w:bottom w:val="nil"/>
              <w:right w:val="nil"/>
            </w:tcBorders>
            <w:shd w:val="clear" w:color="FFFFFF" w:fill="auto"/>
            <w:vAlign w:val="center"/>
            <w:hideMark/>
          </w:tcPr>
          <w:p w14:paraId="6168AE9A" w14:textId="77777777" w:rsidR="008F0BDD" w:rsidRPr="00977A36"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46</w:t>
            </w:r>
          </w:p>
        </w:tc>
        <w:tc>
          <w:tcPr>
            <w:tcW w:w="1508" w:type="dxa"/>
            <w:tcBorders>
              <w:top w:val="nil"/>
              <w:left w:val="nil"/>
              <w:bottom w:val="nil"/>
              <w:right w:val="nil"/>
            </w:tcBorders>
            <w:shd w:val="clear" w:color="FFFFFF" w:fill="auto"/>
            <w:vAlign w:val="center"/>
            <w:hideMark/>
          </w:tcPr>
          <w:p w14:paraId="07FF3120"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3.9</w:t>
            </w:r>
          </w:p>
        </w:tc>
        <w:tc>
          <w:tcPr>
            <w:tcW w:w="1407" w:type="dxa"/>
            <w:tcBorders>
              <w:top w:val="nil"/>
              <w:left w:val="nil"/>
              <w:bottom w:val="nil"/>
              <w:right w:val="nil"/>
            </w:tcBorders>
            <w:shd w:val="clear" w:color="FFFFFF" w:fill="auto"/>
            <w:vAlign w:val="center"/>
            <w:hideMark/>
          </w:tcPr>
          <w:p w14:paraId="640C50AB"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1</w:t>
            </w:r>
          </w:p>
        </w:tc>
        <w:tc>
          <w:tcPr>
            <w:tcW w:w="1508" w:type="dxa"/>
            <w:tcBorders>
              <w:top w:val="nil"/>
              <w:left w:val="nil"/>
              <w:bottom w:val="nil"/>
              <w:right w:val="nil"/>
            </w:tcBorders>
            <w:shd w:val="clear" w:color="FFFFFF" w:fill="auto"/>
            <w:vAlign w:val="center"/>
            <w:hideMark/>
          </w:tcPr>
          <w:p w14:paraId="477FAB3A"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2.1</w:t>
            </w:r>
          </w:p>
        </w:tc>
        <w:tc>
          <w:tcPr>
            <w:tcW w:w="1508" w:type="dxa"/>
            <w:tcBorders>
              <w:top w:val="nil"/>
              <w:left w:val="nil"/>
              <w:bottom w:val="nil"/>
              <w:right w:val="nil"/>
            </w:tcBorders>
            <w:shd w:val="clear" w:color="FFFFFF" w:fill="auto"/>
            <w:vAlign w:val="center"/>
            <w:hideMark/>
          </w:tcPr>
          <w:p w14:paraId="07D8BA9F"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6.77</w:t>
            </w:r>
          </w:p>
        </w:tc>
      </w:tr>
      <w:tr w:rsidR="008F0BDD" w:rsidRPr="00977A36" w14:paraId="2E9764E0" w14:textId="77777777" w:rsidTr="00977A36">
        <w:trPr>
          <w:trHeight w:val="283"/>
        </w:trPr>
        <w:tc>
          <w:tcPr>
            <w:tcW w:w="2127" w:type="dxa"/>
            <w:tcBorders>
              <w:top w:val="nil"/>
              <w:left w:val="nil"/>
              <w:bottom w:val="nil"/>
              <w:right w:val="nil"/>
            </w:tcBorders>
            <w:shd w:val="clear" w:color="FFFFFF" w:fill="auto"/>
            <w:vAlign w:val="center"/>
            <w:hideMark/>
          </w:tcPr>
          <w:p w14:paraId="5590376F" w14:textId="77777777" w:rsidR="008F0BDD" w:rsidRPr="00977A36" w:rsidRDefault="008F0BDD" w:rsidP="003D0615">
            <w:pPr>
              <w:spacing w:after="0" w:line="240" w:lineRule="auto"/>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Tipo de cambio</w:t>
            </w:r>
          </w:p>
        </w:tc>
        <w:tc>
          <w:tcPr>
            <w:tcW w:w="1172" w:type="dxa"/>
            <w:tcBorders>
              <w:top w:val="nil"/>
              <w:left w:val="nil"/>
              <w:bottom w:val="nil"/>
              <w:right w:val="nil"/>
            </w:tcBorders>
            <w:shd w:val="clear" w:color="FFFFFF" w:fill="auto"/>
            <w:vAlign w:val="center"/>
            <w:hideMark/>
          </w:tcPr>
          <w:p w14:paraId="18AB725F" w14:textId="77777777" w:rsidR="008F0BDD" w:rsidRPr="00977A36"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46</w:t>
            </w:r>
          </w:p>
        </w:tc>
        <w:tc>
          <w:tcPr>
            <w:tcW w:w="1508" w:type="dxa"/>
            <w:tcBorders>
              <w:top w:val="nil"/>
              <w:left w:val="nil"/>
              <w:bottom w:val="nil"/>
              <w:right w:val="nil"/>
            </w:tcBorders>
            <w:shd w:val="clear" w:color="FFFFFF" w:fill="auto"/>
            <w:vAlign w:val="center"/>
            <w:hideMark/>
          </w:tcPr>
          <w:p w14:paraId="044F6036"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16</w:t>
            </w:r>
          </w:p>
        </w:tc>
        <w:tc>
          <w:tcPr>
            <w:tcW w:w="1407" w:type="dxa"/>
            <w:tcBorders>
              <w:top w:val="nil"/>
              <w:left w:val="nil"/>
              <w:bottom w:val="nil"/>
              <w:right w:val="nil"/>
            </w:tcBorders>
            <w:shd w:val="clear" w:color="FFFFFF" w:fill="auto"/>
            <w:vAlign w:val="center"/>
            <w:hideMark/>
          </w:tcPr>
          <w:p w14:paraId="742AA5D8"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3.3</w:t>
            </w:r>
          </w:p>
        </w:tc>
        <w:tc>
          <w:tcPr>
            <w:tcW w:w="1508" w:type="dxa"/>
            <w:tcBorders>
              <w:top w:val="nil"/>
              <w:left w:val="nil"/>
              <w:bottom w:val="nil"/>
              <w:right w:val="nil"/>
            </w:tcBorders>
            <w:shd w:val="clear" w:color="FFFFFF" w:fill="auto"/>
            <w:vAlign w:val="center"/>
            <w:hideMark/>
          </w:tcPr>
          <w:p w14:paraId="23295272"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11.7</w:t>
            </w:r>
          </w:p>
        </w:tc>
        <w:tc>
          <w:tcPr>
            <w:tcW w:w="1508" w:type="dxa"/>
            <w:tcBorders>
              <w:top w:val="nil"/>
              <w:left w:val="nil"/>
              <w:bottom w:val="nil"/>
              <w:right w:val="nil"/>
            </w:tcBorders>
            <w:shd w:val="clear" w:color="FFFFFF" w:fill="auto"/>
            <w:vAlign w:val="center"/>
            <w:hideMark/>
          </w:tcPr>
          <w:p w14:paraId="034CA660"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23.3</w:t>
            </w:r>
          </w:p>
        </w:tc>
      </w:tr>
      <w:tr w:rsidR="008F0BDD" w:rsidRPr="00977A36" w14:paraId="53FF148D" w14:textId="77777777" w:rsidTr="00977A36">
        <w:trPr>
          <w:trHeight w:val="283"/>
        </w:trPr>
        <w:tc>
          <w:tcPr>
            <w:tcW w:w="2127" w:type="dxa"/>
            <w:tcBorders>
              <w:top w:val="nil"/>
              <w:left w:val="nil"/>
              <w:bottom w:val="nil"/>
              <w:right w:val="nil"/>
            </w:tcBorders>
            <w:shd w:val="clear" w:color="FFFFFF" w:fill="auto"/>
            <w:vAlign w:val="center"/>
            <w:hideMark/>
          </w:tcPr>
          <w:p w14:paraId="0105C178" w14:textId="067F24B5" w:rsidR="008F0BDD" w:rsidRPr="00977A36" w:rsidRDefault="008F0BDD" w:rsidP="003D0615">
            <w:pPr>
              <w:spacing w:after="0" w:line="240" w:lineRule="auto"/>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C</w:t>
            </w:r>
            <w:r w:rsidR="003F3437" w:rsidRPr="00977A36">
              <w:rPr>
                <w:rFonts w:ascii="Calibri" w:eastAsia="Times New Roman" w:hAnsi="Calibri" w:cs="Calibri"/>
                <w:color w:val="000000"/>
                <w:kern w:val="0"/>
                <w:sz w:val="20"/>
                <w:szCs w:val="20"/>
                <w:lang w:eastAsia="es-MX"/>
                <w14:ligatures w14:val="none"/>
              </w:rPr>
              <w:t>OVID</w:t>
            </w:r>
          </w:p>
        </w:tc>
        <w:tc>
          <w:tcPr>
            <w:tcW w:w="1172" w:type="dxa"/>
            <w:tcBorders>
              <w:top w:val="nil"/>
              <w:left w:val="nil"/>
              <w:bottom w:val="nil"/>
              <w:right w:val="nil"/>
            </w:tcBorders>
            <w:shd w:val="clear" w:color="FFFFFF" w:fill="auto"/>
            <w:vAlign w:val="center"/>
            <w:hideMark/>
          </w:tcPr>
          <w:p w14:paraId="54DBC5C6" w14:textId="77777777" w:rsidR="008F0BDD" w:rsidRPr="00977A36"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46</w:t>
            </w:r>
          </w:p>
        </w:tc>
        <w:tc>
          <w:tcPr>
            <w:tcW w:w="1508" w:type="dxa"/>
            <w:tcBorders>
              <w:top w:val="nil"/>
              <w:left w:val="nil"/>
              <w:bottom w:val="nil"/>
              <w:right w:val="nil"/>
            </w:tcBorders>
            <w:shd w:val="clear" w:color="FFFFFF" w:fill="auto"/>
            <w:vAlign w:val="center"/>
            <w:hideMark/>
          </w:tcPr>
          <w:p w14:paraId="0E3F2B14"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0.08</w:t>
            </w:r>
          </w:p>
        </w:tc>
        <w:tc>
          <w:tcPr>
            <w:tcW w:w="1407" w:type="dxa"/>
            <w:tcBorders>
              <w:top w:val="nil"/>
              <w:left w:val="nil"/>
              <w:bottom w:val="nil"/>
              <w:right w:val="nil"/>
            </w:tcBorders>
            <w:shd w:val="clear" w:color="FFFFFF" w:fill="auto"/>
            <w:vAlign w:val="center"/>
            <w:hideMark/>
          </w:tcPr>
          <w:p w14:paraId="28645DA8"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0.2</w:t>
            </w:r>
          </w:p>
        </w:tc>
        <w:tc>
          <w:tcPr>
            <w:tcW w:w="1508" w:type="dxa"/>
            <w:tcBorders>
              <w:top w:val="nil"/>
              <w:left w:val="nil"/>
              <w:bottom w:val="nil"/>
              <w:right w:val="nil"/>
            </w:tcBorders>
            <w:shd w:val="clear" w:color="FFFFFF" w:fill="auto"/>
            <w:vAlign w:val="center"/>
            <w:hideMark/>
          </w:tcPr>
          <w:p w14:paraId="2D69C322"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0</w:t>
            </w:r>
          </w:p>
        </w:tc>
        <w:tc>
          <w:tcPr>
            <w:tcW w:w="1508" w:type="dxa"/>
            <w:tcBorders>
              <w:top w:val="nil"/>
              <w:left w:val="nil"/>
              <w:bottom w:val="nil"/>
              <w:right w:val="nil"/>
            </w:tcBorders>
            <w:shd w:val="clear" w:color="FFFFFF" w:fill="auto"/>
            <w:vAlign w:val="center"/>
            <w:hideMark/>
          </w:tcPr>
          <w:p w14:paraId="4D6FC5AB"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1</w:t>
            </w:r>
          </w:p>
        </w:tc>
      </w:tr>
      <w:tr w:rsidR="008F0BDD" w:rsidRPr="00977A36" w14:paraId="61B54B43" w14:textId="77777777" w:rsidTr="00977A36">
        <w:trPr>
          <w:trHeight w:val="283"/>
        </w:trPr>
        <w:tc>
          <w:tcPr>
            <w:tcW w:w="2127" w:type="dxa"/>
            <w:tcBorders>
              <w:top w:val="nil"/>
              <w:left w:val="nil"/>
              <w:right w:val="nil"/>
            </w:tcBorders>
            <w:shd w:val="clear" w:color="FFFFFF" w:fill="auto"/>
            <w:vAlign w:val="center"/>
            <w:hideMark/>
          </w:tcPr>
          <w:p w14:paraId="7BC4407B" w14:textId="0ECD8BCA" w:rsidR="008F0BDD" w:rsidRPr="00977A36" w:rsidRDefault="008F0BDD" w:rsidP="003D0615">
            <w:pPr>
              <w:spacing w:after="0" w:line="240" w:lineRule="auto"/>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 xml:space="preserve">Patrimonio </w:t>
            </w:r>
            <w:r w:rsidR="002D7D44" w:rsidRPr="00977A36">
              <w:rPr>
                <w:rFonts w:ascii="Calibri" w:eastAsia="Times New Roman" w:hAnsi="Calibri" w:cs="Calibri"/>
                <w:color w:val="000000"/>
                <w:kern w:val="0"/>
                <w:sz w:val="20"/>
                <w:szCs w:val="20"/>
                <w:lang w:eastAsia="es-MX"/>
                <w14:ligatures w14:val="none"/>
              </w:rPr>
              <w:t>m</w:t>
            </w:r>
            <w:r w:rsidR="001722A6" w:rsidRPr="00977A36">
              <w:rPr>
                <w:rFonts w:ascii="Calibri" w:eastAsia="Times New Roman" w:hAnsi="Calibri" w:cs="Calibri"/>
                <w:color w:val="000000"/>
                <w:kern w:val="0"/>
                <w:sz w:val="20"/>
                <w:szCs w:val="20"/>
                <w:lang w:eastAsia="es-MX"/>
                <w14:ligatures w14:val="none"/>
              </w:rPr>
              <w:t>undial</w:t>
            </w:r>
          </w:p>
        </w:tc>
        <w:tc>
          <w:tcPr>
            <w:tcW w:w="1172" w:type="dxa"/>
            <w:tcBorders>
              <w:top w:val="nil"/>
              <w:left w:val="nil"/>
              <w:right w:val="nil"/>
            </w:tcBorders>
            <w:shd w:val="clear" w:color="FFFFFF" w:fill="auto"/>
            <w:vAlign w:val="center"/>
            <w:hideMark/>
          </w:tcPr>
          <w:p w14:paraId="32EAB807" w14:textId="77777777" w:rsidR="008F0BDD" w:rsidRPr="00977A36"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46</w:t>
            </w:r>
          </w:p>
        </w:tc>
        <w:tc>
          <w:tcPr>
            <w:tcW w:w="1508" w:type="dxa"/>
            <w:tcBorders>
              <w:top w:val="nil"/>
              <w:left w:val="nil"/>
              <w:right w:val="nil"/>
            </w:tcBorders>
            <w:shd w:val="clear" w:color="FFFFFF" w:fill="auto"/>
            <w:vAlign w:val="center"/>
            <w:hideMark/>
          </w:tcPr>
          <w:p w14:paraId="71A2BC6E"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0.6</w:t>
            </w:r>
          </w:p>
        </w:tc>
        <w:tc>
          <w:tcPr>
            <w:tcW w:w="1407" w:type="dxa"/>
            <w:tcBorders>
              <w:top w:val="nil"/>
              <w:left w:val="nil"/>
              <w:right w:val="nil"/>
            </w:tcBorders>
            <w:shd w:val="clear" w:color="FFFFFF" w:fill="auto"/>
            <w:vAlign w:val="center"/>
            <w:hideMark/>
          </w:tcPr>
          <w:p w14:paraId="0B23CAA4"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0.4</w:t>
            </w:r>
          </w:p>
        </w:tc>
        <w:tc>
          <w:tcPr>
            <w:tcW w:w="1508" w:type="dxa"/>
            <w:tcBorders>
              <w:top w:val="nil"/>
              <w:left w:val="nil"/>
              <w:right w:val="nil"/>
            </w:tcBorders>
            <w:shd w:val="clear" w:color="FFFFFF" w:fill="auto"/>
            <w:vAlign w:val="center"/>
            <w:hideMark/>
          </w:tcPr>
          <w:p w14:paraId="7721A0A9"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0</w:t>
            </w:r>
          </w:p>
        </w:tc>
        <w:tc>
          <w:tcPr>
            <w:tcW w:w="1508" w:type="dxa"/>
            <w:tcBorders>
              <w:top w:val="nil"/>
              <w:left w:val="nil"/>
              <w:right w:val="nil"/>
            </w:tcBorders>
            <w:shd w:val="clear" w:color="FFFFFF" w:fill="auto"/>
            <w:vAlign w:val="center"/>
            <w:hideMark/>
          </w:tcPr>
          <w:p w14:paraId="601D5E3E"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1</w:t>
            </w:r>
          </w:p>
        </w:tc>
      </w:tr>
      <w:tr w:rsidR="008F0BDD" w:rsidRPr="00977A36" w14:paraId="5C82435C" w14:textId="77777777" w:rsidTr="00977A36">
        <w:trPr>
          <w:trHeight w:val="283"/>
        </w:trPr>
        <w:tc>
          <w:tcPr>
            <w:tcW w:w="2127" w:type="dxa"/>
            <w:tcBorders>
              <w:top w:val="nil"/>
              <w:left w:val="nil"/>
              <w:bottom w:val="single" w:sz="4" w:space="0" w:color="auto"/>
              <w:right w:val="nil"/>
            </w:tcBorders>
            <w:shd w:val="clear" w:color="FFFFFF" w:fill="auto"/>
            <w:vAlign w:val="center"/>
            <w:hideMark/>
          </w:tcPr>
          <w:p w14:paraId="031521E9" w14:textId="10C4E4EE" w:rsidR="008F0BDD" w:rsidRPr="00977A36" w:rsidRDefault="003F3437" w:rsidP="003D0615">
            <w:pPr>
              <w:spacing w:after="0" w:line="240" w:lineRule="auto"/>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Periodos v</w:t>
            </w:r>
            <w:r w:rsidR="008F0BDD" w:rsidRPr="00977A36">
              <w:rPr>
                <w:rFonts w:ascii="Calibri" w:eastAsia="Times New Roman" w:hAnsi="Calibri" w:cs="Calibri"/>
                <w:color w:val="000000"/>
                <w:kern w:val="0"/>
                <w:sz w:val="20"/>
                <w:szCs w:val="20"/>
                <w:lang w:eastAsia="es-MX"/>
                <w14:ligatures w14:val="none"/>
              </w:rPr>
              <w:t>acacio</w:t>
            </w:r>
            <w:r w:rsidRPr="00977A36">
              <w:rPr>
                <w:rFonts w:ascii="Calibri" w:eastAsia="Times New Roman" w:hAnsi="Calibri" w:cs="Calibri"/>
                <w:color w:val="000000"/>
                <w:kern w:val="0"/>
                <w:sz w:val="20"/>
                <w:szCs w:val="20"/>
                <w:lang w:eastAsia="es-MX"/>
                <w14:ligatures w14:val="none"/>
              </w:rPr>
              <w:t>nales</w:t>
            </w:r>
          </w:p>
        </w:tc>
        <w:tc>
          <w:tcPr>
            <w:tcW w:w="1172" w:type="dxa"/>
            <w:tcBorders>
              <w:top w:val="nil"/>
              <w:left w:val="nil"/>
              <w:bottom w:val="single" w:sz="4" w:space="0" w:color="auto"/>
              <w:right w:val="nil"/>
            </w:tcBorders>
            <w:shd w:val="clear" w:color="FFFFFF" w:fill="auto"/>
            <w:vAlign w:val="center"/>
            <w:hideMark/>
          </w:tcPr>
          <w:p w14:paraId="5CC28F94" w14:textId="132A098B" w:rsidR="008F0BDD" w:rsidRPr="00977A36" w:rsidRDefault="008F0BDD" w:rsidP="003D0615">
            <w:pPr>
              <w:spacing w:after="0" w:line="240" w:lineRule="auto"/>
              <w:ind w:firstLine="709"/>
              <w:jc w:val="center"/>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46</w:t>
            </w:r>
          </w:p>
        </w:tc>
        <w:tc>
          <w:tcPr>
            <w:tcW w:w="1508" w:type="dxa"/>
            <w:tcBorders>
              <w:top w:val="nil"/>
              <w:left w:val="nil"/>
              <w:bottom w:val="single" w:sz="4" w:space="0" w:color="auto"/>
              <w:right w:val="nil"/>
            </w:tcBorders>
            <w:shd w:val="clear" w:color="FFFFFF" w:fill="auto"/>
            <w:vAlign w:val="center"/>
            <w:hideMark/>
          </w:tcPr>
          <w:p w14:paraId="2F0B19DA"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0.73</w:t>
            </w:r>
          </w:p>
        </w:tc>
        <w:tc>
          <w:tcPr>
            <w:tcW w:w="1407" w:type="dxa"/>
            <w:tcBorders>
              <w:top w:val="nil"/>
              <w:left w:val="nil"/>
              <w:bottom w:val="single" w:sz="4" w:space="0" w:color="auto"/>
              <w:right w:val="nil"/>
            </w:tcBorders>
            <w:shd w:val="clear" w:color="FFFFFF" w:fill="auto"/>
            <w:vAlign w:val="center"/>
            <w:hideMark/>
          </w:tcPr>
          <w:p w14:paraId="57EB9F0E"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0.4</w:t>
            </w:r>
          </w:p>
        </w:tc>
        <w:tc>
          <w:tcPr>
            <w:tcW w:w="1508" w:type="dxa"/>
            <w:tcBorders>
              <w:top w:val="nil"/>
              <w:left w:val="nil"/>
              <w:bottom w:val="single" w:sz="4" w:space="0" w:color="auto"/>
              <w:right w:val="nil"/>
            </w:tcBorders>
            <w:shd w:val="clear" w:color="FFFFFF" w:fill="auto"/>
            <w:vAlign w:val="center"/>
            <w:hideMark/>
          </w:tcPr>
          <w:p w14:paraId="0541B448"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0</w:t>
            </w:r>
          </w:p>
        </w:tc>
        <w:tc>
          <w:tcPr>
            <w:tcW w:w="1508" w:type="dxa"/>
            <w:tcBorders>
              <w:top w:val="nil"/>
              <w:left w:val="nil"/>
              <w:bottom w:val="single" w:sz="4" w:space="0" w:color="auto"/>
              <w:right w:val="nil"/>
            </w:tcBorders>
            <w:shd w:val="clear" w:color="FFFFFF" w:fill="auto"/>
            <w:vAlign w:val="center"/>
            <w:hideMark/>
          </w:tcPr>
          <w:p w14:paraId="44ADD99D" w14:textId="77777777" w:rsidR="008F0BDD" w:rsidRPr="00977A36" w:rsidRDefault="008F0BDD"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r w:rsidRPr="00977A36">
              <w:rPr>
                <w:rFonts w:ascii="Calibri" w:eastAsia="Times New Roman" w:hAnsi="Calibri" w:cs="Calibri"/>
                <w:color w:val="000000"/>
                <w:kern w:val="0"/>
                <w:sz w:val="20"/>
                <w:szCs w:val="20"/>
                <w:lang w:eastAsia="es-MX"/>
                <w14:ligatures w14:val="none"/>
              </w:rPr>
              <w:t>1</w:t>
            </w:r>
          </w:p>
        </w:tc>
      </w:tr>
    </w:tbl>
    <w:p w14:paraId="46F59240" w14:textId="1922A084" w:rsidR="004C2A33" w:rsidRPr="005400F0" w:rsidRDefault="001F5608" w:rsidP="003D0615">
      <w:pPr>
        <w:spacing w:line="278" w:lineRule="auto"/>
        <w:ind w:firstLine="709"/>
        <w:rPr>
          <w:rFonts w:ascii="Calibri" w:hAnsi="Calibri" w:cs="Calibri"/>
          <w:kern w:val="0"/>
          <w:sz w:val="24"/>
          <w:szCs w:val="24"/>
          <w:lang w:val="es-ES"/>
          <w14:ligatures w14:val="none"/>
        </w:rPr>
      </w:pPr>
      <w:r>
        <w:rPr>
          <w:rFonts w:ascii="Calibri" w:hAnsi="Calibri" w:cs="Calibri"/>
          <w:kern w:val="0"/>
          <w:sz w:val="24"/>
          <w:szCs w:val="24"/>
          <w:lang w:val="es-ES"/>
          <w14:ligatures w14:val="none"/>
        </w:rPr>
        <w:t>Nota</w:t>
      </w:r>
      <w:r w:rsidR="004C2A33" w:rsidRPr="0063691F">
        <w:rPr>
          <w:rFonts w:ascii="Calibri" w:hAnsi="Calibri" w:cs="Calibri"/>
          <w:kern w:val="0"/>
          <w:sz w:val="24"/>
          <w:szCs w:val="24"/>
          <w:lang w:val="es-ES"/>
          <w14:ligatures w14:val="none"/>
        </w:rPr>
        <w:t>: Elaboración propia</w:t>
      </w:r>
    </w:p>
    <w:p w14:paraId="2CCC5348" w14:textId="6710600A" w:rsidR="0020255F" w:rsidRDefault="0020255F" w:rsidP="003D0615">
      <w:pPr>
        <w:ind w:firstLine="709"/>
        <w:jc w:val="both"/>
        <w:rPr>
          <w:rFonts w:ascii="Calibri" w:eastAsiaTheme="minorEastAsia" w:hAnsi="Calibri" w:cs="Calibri"/>
          <w:color w:val="000000"/>
          <w:sz w:val="24"/>
          <w:szCs w:val="24"/>
          <w14:ligatures w14:val="none"/>
        </w:rPr>
      </w:pPr>
      <w:r w:rsidRPr="0034572D">
        <w:rPr>
          <w:rFonts w:ascii="Calibri" w:eastAsiaTheme="minorEastAsia" w:hAnsi="Calibri" w:cs="Calibri"/>
          <w:color w:val="000000"/>
          <w:sz w:val="24"/>
          <w:szCs w:val="24"/>
          <w14:ligatures w14:val="none"/>
        </w:rPr>
        <w:t xml:space="preserve">El análisis de las variables del flujo turístico muestra distintos niveles de dispersión. </w:t>
      </w:r>
      <w:r w:rsidR="000D6D7C">
        <w:rPr>
          <w:rFonts w:ascii="Calibri" w:eastAsiaTheme="minorEastAsia" w:hAnsi="Calibri" w:cs="Calibri"/>
          <w:color w:val="000000"/>
          <w:sz w:val="24"/>
          <w:szCs w:val="24"/>
          <w14:ligatures w14:val="none"/>
        </w:rPr>
        <w:t>Las variables v</w:t>
      </w:r>
      <w:r w:rsidRPr="0034572D">
        <w:rPr>
          <w:rFonts w:ascii="Calibri" w:eastAsiaTheme="minorEastAsia" w:hAnsi="Calibri" w:cs="Calibri"/>
          <w:color w:val="000000"/>
          <w:sz w:val="24"/>
          <w:szCs w:val="24"/>
          <w14:ligatures w14:val="none"/>
        </w:rPr>
        <w:t xml:space="preserve">isitas e </w:t>
      </w:r>
      <w:r w:rsidR="000D6D7C">
        <w:rPr>
          <w:rFonts w:ascii="Calibri" w:eastAsiaTheme="minorEastAsia" w:hAnsi="Calibri" w:cs="Calibri"/>
          <w:color w:val="000000"/>
          <w:sz w:val="24"/>
          <w:szCs w:val="24"/>
          <w14:ligatures w14:val="none"/>
        </w:rPr>
        <w:t>i</w:t>
      </w:r>
      <w:r w:rsidRPr="0034572D">
        <w:rPr>
          <w:rFonts w:ascii="Calibri" w:eastAsiaTheme="minorEastAsia" w:hAnsi="Calibri" w:cs="Calibri"/>
          <w:color w:val="000000"/>
          <w:sz w:val="24"/>
          <w:szCs w:val="24"/>
          <w14:ligatures w14:val="none"/>
        </w:rPr>
        <w:t>ngreso</w:t>
      </w:r>
      <w:r w:rsidR="000D6D7C">
        <w:rPr>
          <w:rFonts w:ascii="Calibri" w:eastAsiaTheme="minorEastAsia" w:hAnsi="Calibri" w:cs="Calibri"/>
          <w:color w:val="000000"/>
          <w:sz w:val="24"/>
          <w:szCs w:val="24"/>
          <w14:ligatures w14:val="none"/>
        </w:rPr>
        <w:t xml:space="preserve"> del hogar</w:t>
      </w:r>
      <w:r w:rsidRPr="0034572D">
        <w:rPr>
          <w:rFonts w:ascii="Calibri" w:eastAsiaTheme="minorEastAsia" w:hAnsi="Calibri" w:cs="Calibri"/>
          <w:color w:val="000000"/>
          <w:sz w:val="24"/>
          <w:szCs w:val="24"/>
          <w14:ligatures w14:val="none"/>
        </w:rPr>
        <w:t xml:space="preserve"> presentan muy alta variabilidad. </w:t>
      </w:r>
      <w:r w:rsidR="000D6D7C">
        <w:rPr>
          <w:rFonts w:ascii="Calibri" w:eastAsiaTheme="minorEastAsia" w:hAnsi="Calibri" w:cs="Calibri"/>
          <w:color w:val="000000"/>
          <w:sz w:val="24"/>
          <w:szCs w:val="24"/>
          <w14:ligatures w14:val="none"/>
        </w:rPr>
        <w:t>r</w:t>
      </w:r>
      <w:r w:rsidRPr="0034572D">
        <w:rPr>
          <w:rFonts w:ascii="Calibri" w:eastAsiaTheme="minorEastAsia" w:hAnsi="Calibri" w:cs="Calibri"/>
          <w:color w:val="000000"/>
          <w:sz w:val="24"/>
          <w:szCs w:val="24"/>
          <w14:ligatures w14:val="none"/>
        </w:rPr>
        <w:t xml:space="preserve">iesgo país muestra alta dispersión. PIB turístico, tipo de cambio y confianza del consumidor tienen dispersión media. </w:t>
      </w:r>
      <w:r w:rsidR="000D6D7C">
        <w:rPr>
          <w:rFonts w:ascii="Calibri" w:eastAsiaTheme="minorEastAsia" w:hAnsi="Calibri" w:cs="Calibri"/>
          <w:color w:val="000000"/>
          <w:sz w:val="24"/>
          <w:szCs w:val="24"/>
          <w14:ligatures w14:val="none"/>
        </w:rPr>
        <w:t>Periodos vacacionales</w:t>
      </w:r>
      <w:r w:rsidRPr="0034572D">
        <w:rPr>
          <w:rFonts w:ascii="Calibri" w:eastAsiaTheme="minorEastAsia" w:hAnsi="Calibri" w:cs="Calibri"/>
          <w:color w:val="000000"/>
          <w:sz w:val="24"/>
          <w:szCs w:val="24"/>
          <w14:ligatures w14:val="none"/>
        </w:rPr>
        <w:t xml:space="preserve">, </w:t>
      </w:r>
      <w:r w:rsidR="000D6D7C">
        <w:rPr>
          <w:rFonts w:ascii="Calibri" w:eastAsiaTheme="minorEastAsia" w:hAnsi="Calibri" w:cs="Calibri"/>
          <w:color w:val="000000"/>
          <w:sz w:val="24"/>
          <w:szCs w:val="24"/>
          <w14:ligatures w14:val="none"/>
        </w:rPr>
        <w:t>p</w:t>
      </w:r>
      <w:r w:rsidRPr="0034572D">
        <w:rPr>
          <w:rFonts w:ascii="Calibri" w:eastAsiaTheme="minorEastAsia" w:hAnsi="Calibri" w:cs="Calibri"/>
          <w:color w:val="000000"/>
          <w:sz w:val="24"/>
          <w:szCs w:val="24"/>
          <w14:ligatures w14:val="none"/>
        </w:rPr>
        <w:t xml:space="preserve">atrimonio mundial e </w:t>
      </w:r>
      <w:r w:rsidR="000D6D7C">
        <w:rPr>
          <w:rFonts w:ascii="Calibri" w:eastAsiaTheme="minorEastAsia" w:hAnsi="Calibri" w:cs="Calibri"/>
          <w:color w:val="000000"/>
          <w:sz w:val="24"/>
          <w:szCs w:val="24"/>
          <w14:ligatures w14:val="none"/>
        </w:rPr>
        <w:t>i</w:t>
      </w:r>
      <w:r w:rsidRPr="0034572D">
        <w:rPr>
          <w:rFonts w:ascii="Calibri" w:eastAsiaTheme="minorEastAsia" w:hAnsi="Calibri" w:cs="Calibri"/>
          <w:color w:val="000000"/>
          <w:sz w:val="24"/>
          <w:szCs w:val="24"/>
          <w14:ligatures w14:val="none"/>
        </w:rPr>
        <w:t>nflación presentan baja dispersión, mientras que C</w:t>
      </w:r>
      <w:r>
        <w:rPr>
          <w:rFonts w:ascii="Calibri" w:eastAsiaTheme="minorEastAsia" w:hAnsi="Calibri" w:cs="Calibri"/>
          <w:color w:val="000000"/>
          <w:sz w:val="24"/>
          <w:szCs w:val="24"/>
          <w14:ligatures w14:val="none"/>
        </w:rPr>
        <w:t>OVID</w:t>
      </w:r>
      <w:r w:rsidRPr="0034572D">
        <w:rPr>
          <w:rFonts w:ascii="Calibri" w:eastAsiaTheme="minorEastAsia" w:hAnsi="Calibri" w:cs="Calibri"/>
          <w:color w:val="000000"/>
          <w:sz w:val="24"/>
          <w:szCs w:val="24"/>
          <w14:ligatures w14:val="none"/>
        </w:rPr>
        <w:t xml:space="preserve"> destaca por su muy baja variabilidad.</w:t>
      </w:r>
    </w:p>
    <w:p w14:paraId="0DC21056" w14:textId="77777777" w:rsidR="00DD2353" w:rsidRDefault="00DD2353" w:rsidP="003D0615">
      <w:pPr>
        <w:ind w:firstLine="709"/>
        <w:jc w:val="both"/>
        <w:rPr>
          <w:rFonts w:ascii="Calibri" w:hAnsi="Calibri" w:cs="Calibri"/>
          <w:kern w:val="0"/>
          <w:sz w:val="24"/>
          <w:szCs w:val="24"/>
          <w:highlight w:val="yellow"/>
          <w:lang w:val="es-ES"/>
          <w14:ligatures w14:val="none"/>
        </w:rPr>
      </w:pPr>
    </w:p>
    <w:p w14:paraId="71CB8D7B" w14:textId="2A3D6F1D" w:rsidR="0049583F" w:rsidRPr="00B13B3C" w:rsidRDefault="00B13B3C" w:rsidP="003D0615">
      <w:pPr>
        <w:ind w:firstLine="709"/>
        <w:rPr>
          <w:rFonts w:ascii="Calibri" w:hAnsi="Calibri" w:cs="Calibri"/>
          <w:b/>
          <w:bCs/>
          <w:kern w:val="0"/>
          <w:sz w:val="24"/>
          <w:szCs w:val="24"/>
          <w:lang w:val="es-ES"/>
          <w14:ligatures w14:val="none"/>
        </w:rPr>
      </w:pPr>
      <w:r w:rsidRPr="00B13B3C">
        <w:rPr>
          <w:rFonts w:ascii="Calibri" w:hAnsi="Calibri" w:cs="Calibri"/>
          <w:b/>
          <w:bCs/>
          <w:kern w:val="0"/>
          <w:sz w:val="24"/>
          <w:szCs w:val="24"/>
          <w:lang w:val="es-ES"/>
          <w14:ligatures w14:val="none"/>
        </w:rPr>
        <w:lastRenderedPageBreak/>
        <w:t xml:space="preserve">3.2 </w:t>
      </w:r>
      <w:r w:rsidR="0049583F" w:rsidRPr="00B13B3C">
        <w:rPr>
          <w:rFonts w:ascii="Calibri" w:hAnsi="Calibri" w:cs="Calibri"/>
          <w:b/>
          <w:bCs/>
          <w:kern w:val="0"/>
          <w:sz w:val="24"/>
          <w:szCs w:val="24"/>
          <w:lang w:val="es-ES"/>
          <w14:ligatures w14:val="none"/>
        </w:rPr>
        <w:t>Flujo turístico</w:t>
      </w:r>
      <w:r w:rsidRPr="00B13B3C">
        <w:rPr>
          <w:rFonts w:ascii="Calibri" w:hAnsi="Calibri" w:cs="Calibri"/>
          <w:b/>
          <w:bCs/>
          <w:kern w:val="0"/>
          <w:sz w:val="24"/>
          <w:szCs w:val="24"/>
          <w:lang w:val="es-ES"/>
          <w14:ligatures w14:val="none"/>
        </w:rPr>
        <w:t xml:space="preserve"> de la RBPGDA</w:t>
      </w:r>
    </w:p>
    <w:p w14:paraId="20F5A6EB" w14:textId="4280CC74" w:rsidR="00B97339" w:rsidRDefault="00B97339" w:rsidP="003D0615">
      <w:pPr>
        <w:keepNext/>
        <w:suppressAutoHyphens/>
        <w:spacing w:after="200" w:line="240" w:lineRule="auto"/>
        <w:ind w:firstLine="709"/>
        <w:jc w:val="both"/>
        <w:rPr>
          <w:rFonts w:ascii="Calibri" w:hAnsi="Calibri" w:cs="Calibri"/>
          <w:kern w:val="0"/>
          <w:sz w:val="24"/>
          <w:szCs w:val="24"/>
          <w:lang w:val="es-ES"/>
          <w14:ligatures w14:val="none"/>
        </w:rPr>
      </w:pPr>
      <w:r w:rsidRPr="00B97339">
        <w:rPr>
          <w:rFonts w:ascii="Calibri" w:hAnsi="Calibri" w:cs="Calibri"/>
          <w:kern w:val="0"/>
          <w:sz w:val="24"/>
          <w:szCs w:val="24"/>
          <w:lang w:val="es-ES"/>
          <w14:ligatures w14:val="none"/>
        </w:rPr>
        <w:t xml:space="preserve">El Museo y Centro de Visitantes </w:t>
      </w:r>
      <w:proofErr w:type="spellStart"/>
      <w:r w:rsidRPr="00B97339">
        <w:rPr>
          <w:rFonts w:ascii="Calibri" w:hAnsi="Calibri" w:cs="Calibri"/>
          <w:kern w:val="0"/>
          <w:sz w:val="24"/>
          <w:szCs w:val="24"/>
          <w:lang w:val="es-ES"/>
          <w14:ligatures w14:val="none"/>
        </w:rPr>
        <w:t>Schuk</w:t>
      </w:r>
      <w:proofErr w:type="spellEnd"/>
      <w:r w:rsidRPr="00B97339">
        <w:rPr>
          <w:rFonts w:ascii="Calibri" w:hAnsi="Calibri" w:cs="Calibri"/>
          <w:kern w:val="0"/>
          <w:sz w:val="24"/>
          <w:szCs w:val="24"/>
          <w:lang w:val="es-ES"/>
          <w14:ligatures w14:val="none"/>
        </w:rPr>
        <w:t xml:space="preserve"> </w:t>
      </w:r>
      <w:proofErr w:type="spellStart"/>
      <w:r w:rsidRPr="00B97339">
        <w:rPr>
          <w:rFonts w:ascii="Calibri" w:hAnsi="Calibri" w:cs="Calibri"/>
          <w:kern w:val="0"/>
          <w:sz w:val="24"/>
          <w:szCs w:val="24"/>
          <w:lang w:val="es-ES"/>
          <w14:ligatures w14:val="none"/>
        </w:rPr>
        <w:t>Toak</w:t>
      </w:r>
      <w:proofErr w:type="spellEnd"/>
      <w:r w:rsidRPr="00B97339">
        <w:rPr>
          <w:rFonts w:ascii="Calibri" w:hAnsi="Calibri" w:cs="Calibri"/>
          <w:kern w:val="0"/>
          <w:sz w:val="24"/>
          <w:szCs w:val="24"/>
          <w:lang w:val="es-ES"/>
          <w14:ligatures w14:val="none"/>
        </w:rPr>
        <w:t xml:space="preserve"> de la RBPGDA destaca los valores biológicos, geológicos, culturales y paisajísticos del área mediante exhibiciones interactivas, documentales y senderos interpretativos. Es un edificio autosustentable </w:t>
      </w:r>
      <w:r w:rsidR="00BC292C">
        <w:rPr>
          <w:rFonts w:ascii="Calibri" w:hAnsi="Calibri" w:cs="Calibri"/>
          <w:kern w:val="0"/>
          <w:sz w:val="24"/>
          <w:szCs w:val="24"/>
          <w:lang w:val="es-ES"/>
          <w14:ligatures w14:val="none"/>
        </w:rPr>
        <w:t xml:space="preserve">cuyo requerimiento energético se abastece mediante paneles </w:t>
      </w:r>
      <w:proofErr w:type="spellStart"/>
      <w:r w:rsidR="00BC292C">
        <w:rPr>
          <w:rFonts w:ascii="Calibri" w:hAnsi="Calibri" w:cs="Calibri"/>
          <w:kern w:val="0"/>
          <w:sz w:val="24"/>
          <w:szCs w:val="24"/>
          <w:lang w:val="es-ES"/>
          <w14:ligatures w14:val="none"/>
        </w:rPr>
        <w:t>fotovoltáicos</w:t>
      </w:r>
      <w:proofErr w:type="spellEnd"/>
      <w:r w:rsidRPr="00B97339">
        <w:rPr>
          <w:rFonts w:ascii="Calibri" w:hAnsi="Calibri" w:cs="Calibri"/>
          <w:kern w:val="0"/>
          <w:sz w:val="24"/>
          <w:szCs w:val="24"/>
          <w:lang w:val="es-ES"/>
          <w14:ligatures w14:val="none"/>
        </w:rPr>
        <w:t xml:space="preserve"> (Reserva de la Biosfera El Pinacate y Gran Desierto de Altar, </w:t>
      </w:r>
      <w:r w:rsidRPr="00F26AE5">
        <w:rPr>
          <w:rFonts w:ascii="Calibri" w:hAnsi="Calibri" w:cs="Calibri"/>
          <w:color w:val="C00000"/>
          <w:kern w:val="0"/>
          <w:sz w:val="24"/>
          <w:szCs w:val="24"/>
          <w:lang w:val="es-ES"/>
          <w14:ligatures w14:val="none"/>
        </w:rPr>
        <w:t>2023</w:t>
      </w:r>
      <w:r w:rsidRPr="00B97339">
        <w:rPr>
          <w:rFonts w:ascii="Calibri" w:hAnsi="Calibri" w:cs="Calibri"/>
          <w:kern w:val="0"/>
          <w:sz w:val="24"/>
          <w:szCs w:val="24"/>
          <w:lang w:val="es-ES"/>
          <w14:ligatures w14:val="none"/>
        </w:rPr>
        <w:t xml:space="preserve">). Desde su inauguración en 2009, registra a los visitantes en una base de datos por edad, origen y destinos dentro del </w:t>
      </w:r>
      <w:r w:rsidR="005E15A4">
        <w:rPr>
          <w:rFonts w:ascii="Calibri" w:hAnsi="Calibri" w:cs="Calibri"/>
          <w:kern w:val="0"/>
          <w:sz w:val="24"/>
          <w:szCs w:val="24"/>
          <w:lang w:val="es-ES"/>
          <w14:ligatures w14:val="none"/>
        </w:rPr>
        <w:t>ANP</w:t>
      </w:r>
      <w:r w:rsidRPr="00B97339">
        <w:rPr>
          <w:rFonts w:ascii="Calibri" w:hAnsi="Calibri" w:cs="Calibri"/>
          <w:kern w:val="0"/>
          <w:sz w:val="24"/>
          <w:szCs w:val="24"/>
          <w:lang w:val="es-ES"/>
          <w14:ligatures w14:val="none"/>
        </w:rPr>
        <w:t>. Entre 2009 y 2021, el flujo de visitantes ha presentado tendencias y cambios significativos.</w:t>
      </w:r>
    </w:p>
    <w:p w14:paraId="3425BC95" w14:textId="42FFD034" w:rsidR="00B97339" w:rsidRDefault="00B97339" w:rsidP="003D0615">
      <w:pPr>
        <w:suppressAutoHyphens/>
        <w:spacing w:line="240" w:lineRule="auto"/>
        <w:ind w:firstLine="709"/>
        <w:jc w:val="both"/>
        <w:rPr>
          <w:rFonts w:ascii="Calibri" w:hAnsi="Calibri" w:cs="Calibri"/>
          <w:kern w:val="0"/>
          <w:sz w:val="24"/>
          <w:szCs w:val="24"/>
          <w:lang w:val="es-ES"/>
          <w14:ligatures w14:val="none"/>
        </w:rPr>
      </w:pPr>
      <w:r>
        <w:rPr>
          <w:rFonts w:ascii="Calibri" w:hAnsi="Calibri" w:cs="Calibri"/>
          <w:kern w:val="0"/>
          <w:sz w:val="24"/>
          <w:szCs w:val="24"/>
          <w:lang w:val="es-ES"/>
          <w14:ligatures w14:val="none"/>
        </w:rPr>
        <w:t xml:space="preserve">En la </w:t>
      </w:r>
      <w:r w:rsidR="0084575B">
        <w:rPr>
          <w:rFonts w:ascii="Calibri" w:hAnsi="Calibri" w:cs="Calibri"/>
          <w:kern w:val="0"/>
          <w:sz w:val="24"/>
          <w:szCs w:val="24"/>
          <w:lang w:val="es-ES"/>
          <w14:ligatures w14:val="none"/>
        </w:rPr>
        <w:t>F</w:t>
      </w:r>
      <w:r>
        <w:rPr>
          <w:rFonts w:ascii="Calibri" w:hAnsi="Calibri" w:cs="Calibri"/>
          <w:kern w:val="0"/>
          <w:sz w:val="24"/>
          <w:szCs w:val="24"/>
          <w:lang w:val="es-ES"/>
          <w14:ligatures w14:val="none"/>
        </w:rPr>
        <w:t>igura 2 se exhibe e</w:t>
      </w:r>
      <w:r w:rsidRPr="00D44E2B">
        <w:rPr>
          <w:rFonts w:ascii="Calibri" w:hAnsi="Calibri" w:cs="Calibri"/>
          <w:kern w:val="0"/>
          <w:sz w:val="24"/>
          <w:szCs w:val="24"/>
          <w:lang w:val="es-ES"/>
          <w14:ligatures w14:val="none"/>
        </w:rPr>
        <w:t xml:space="preserve">l flujo de visitantes </w:t>
      </w:r>
      <w:r w:rsidR="0084575B">
        <w:rPr>
          <w:rFonts w:ascii="Calibri" w:hAnsi="Calibri" w:cs="Calibri"/>
          <w:kern w:val="0"/>
          <w:sz w:val="24"/>
          <w:szCs w:val="24"/>
          <w:lang w:val="es-ES"/>
          <w14:ligatures w14:val="none"/>
        </w:rPr>
        <w:t>de</w:t>
      </w:r>
      <w:r w:rsidRPr="00D44E2B">
        <w:rPr>
          <w:rFonts w:ascii="Calibri" w:hAnsi="Calibri" w:cs="Calibri"/>
          <w:kern w:val="0"/>
          <w:sz w:val="24"/>
          <w:szCs w:val="24"/>
          <w:lang w:val="es-ES"/>
          <w14:ligatures w14:val="none"/>
        </w:rPr>
        <w:t xml:space="preserve"> la RBPGDA</w:t>
      </w:r>
      <w:r w:rsidR="0084575B">
        <w:rPr>
          <w:rFonts w:ascii="Calibri" w:hAnsi="Calibri" w:cs="Calibri"/>
          <w:kern w:val="0"/>
          <w:sz w:val="24"/>
          <w:szCs w:val="24"/>
          <w:lang w:val="es-ES"/>
          <w14:ligatures w14:val="none"/>
        </w:rPr>
        <w:t>, el cual</w:t>
      </w:r>
      <w:r w:rsidRPr="00D44E2B">
        <w:rPr>
          <w:rFonts w:ascii="Calibri" w:hAnsi="Calibri" w:cs="Calibri"/>
          <w:kern w:val="0"/>
          <w:sz w:val="24"/>
          <w:szCs w:val="24"/>
          <w:lang w:val="es-ES"/>
          <w14:ligatures w14:val="none"/>
        </w:rPr>
        <w:t xml:space="preserve"> ha experimentado variaciones significativas desde 2009. Inicialmente, el número de visitantes se mantuvo relativamente estable hasta 2011. En 2012, se registró un descenso debido al cierre temporal del centro de visitantes para </w:t>
      </w:r>
      <w:r>
        <w:rPr>
          <w:rFonts w:ascii="Calibri" w:hAnsi="Calibri" w:cs="Calibri"/>
          <w:kern w:val="0"/>
          <w:sz w:val="24"/>
          <w:szCs w:val="24"/>
          <w:lang w:val="es-ES"/>
          <w14:ligatures w14:val="none"/>
        </w:rPr>
        <w:t xml:space="preserve">realizar </w:t>
      </w:r>
      <w:r w:rsidRPr="00D44E2B">
        <w:rPr>
          <w:rFonts w:ascii="Calibri" w:hAnsi="Calibri" w:cs="Calibri"/>
          <w:kern w:val="0"/>
          <w:sz w:val="24"/>
          <w:szCs w:val="24"/>
          <w:lang w:val="es-ES"/>
          <w14:ligatures w14:val="none"/>
        </w:rPr>
        <w:t>renovaciones</w:t>
      </w:r>
      <w:r>
        <w:rPr>
          <w:rFonts w:ascii="Calibri" w:hAnsi="Calibri" w:cs="Calibri"/>
          <w:kern w:val="0"/>
          <w:sz w:val="24"/>
          <w:szCs w:val="24"/>
          <w:lang w:val="es-ES"/>
          <w14:ligatures w14:val="none"/>
        </w:rPr>
        <w:t xml:space="preserve"> </w:t>
      </w:r>
      <w:r w:rsidRPr="0063691F">
        <w:rPr>
          <w:rFonts w:ascii="Calibri" w:hAnsi="Calibri" w:cs="Calibri"/>
          <w:kern w:val="0"/>
          <w:sz w:val="24"/>
          <w:szCs w:val="24"/>
          <w:lang w:val="es-ES"/>
          <w14:ligatures w14:val="none"/>
        </w:rPr>
        <w:t>en su museografía.</w:t>
      </w:r>
    </w:p>
    <w:p w14:paraId="1F5E16E1" w14:textId="02FEB548" w:rsidR="00B97339" w:rsidRDefault="00B97339" w:rsidP="003D0615">
      <w:pPr>
        <w:suppressAutoHyphens/>
        <w:spacing w:line="240" w:lineRule="auto"/>
        <w:ind w:firstLine="709"/>
        <w:jc w:val="both"/>
        <w:rPr>
          <w:rFonts w:ascii="Calibri" w:hAnsi="Calibri" w:cs="Calibri"/>
          <w:kern w:val="0"/>
          <w:sz w:val="24"/>
          <w:szCs w:val="24"/>
          <w:lang w:val="es-ES"/>
          <w14:ligatures w14:val="none"/>
        </w:rPr>
      </w:pPr>
      <w:r w:rsidRPr="00B97339">
        <w:rPr>
          <w:rFonts w:ascii="Calibri" w:hAnsi="Calibri" w:cs="Calibri"/>
          <w:kern w:val="0"/>
          <w:sz w:val="24"/>
          <w:szCs w:val="24"/>
          <w:lang w:val="es-ES"/>
          <w14:ligatures w14:val="none"/>
        </w:rPr>
        <w:t>En 2013, la designación de la RBPGDA como Patrimonio Mundial por la UNESCO impulsó notablemente el turismo, alcanzando su máximo histórico de visitantes en 2016. Sin embargo, desde 2017 se registró una disminución, agudizada en 2018 y con una caída drástica en 2020 por la pandemia de COVID-19. En 2021 se observó una recuperación parcial. Estos cambios evidencian cómo reconocimientos internacionales, promoción, gestión y eventos globales afectan el flujo turístico en la RBPGDA.</w:t>
      </w:r>
    </w:p>
    <w:p w14:paraId="51E7FBE2" w14:textId="63D296F2" w:rsidR="0049583F" w:rsidRPr="00D44E2B" w:rsidRDefault="0049583F" w:rsidP="003D0615">
      <w:pPr>
        <w:keepNext/>
        <w:suppressAutoHyphens/>
        <w:spacing w:after="200" w:line="240" w:lineRule="auto"/>
        <w:ind w:firstLine="709"/>
        <w:rPr>
          <w:rFonts w:ascii="Calibri" w:hAnsi="Calibri" w:cs="Calibri"/>
          <w:b/>
          <w:bCs/>
          <w:kern w:val="0"/>
          <w:sz w:val="24"/>
          <w:szCs w:val="24"/>
          <w14:ligatures w14:val="none"/>
        </w:rPr>
      </w:pPr>
      <w:r w:rsidRPr="00D44E2B">
        <w:rPr>
          <w:rFonts w:ascii="Calibri" w:hAnsi="Calibri" w:cs="Calibri"/>
          <w:b/>
          <w:bCs/>
          <w:kern w:val="0"/>
          <w:sz w:val="24"/>
          <w:szCs w:val="24"/>
          <w14:ligatures w14:val="none"/>
        </w:rPr>
        <w:t>Figura 2</w:t>
      </w:r>
      <w:r w:rsidR="005E1559">
        <w:rPr>
          <w:rFonts w:ascii="Calibri" w:hAnsi="Calibri" w:cs="Calibri"/>
          <w:b/>
          <w:bCs/>
          <w:kern w:val="0"/>
          <w:sz w:val="24"/>
          <w:szCs w:val="24"/>
          <w14:ligatures w14:val="none"/>
        </w:rPr>
        <w:t>.</w:t>
      </w:r>
      <w:r w:rsidR="008F2249">
        <w:rPr>
          <w:rFonts w:ascii="Calibri" w:hAnsi="Calibri" w:cs="Calibri"/>
          <w:b/>
          <w:bCs/>
          <w:kern w:val="0"/>
          <w:sz w:val="24"/>
          <w:szCs w:val="24"/>
          <w14:ligatures w14:val="none"/>
        </w:rPr>
        <w:t xml:space="preserve"> </w:t>
      </w:r>
      <w:r w:rsidR="005E1559" w:rsidRPr="008F2249">
        <w:rPr>
          <w:rFonts w:ascii="Calibri" w:hAnsi="Calibri" w:cs="Calibri"/>
          <w:kern w:val="0"/>
          <w:sz w:val="24"/>
          <w:szCs w:val="24"/>
          <w14:ligatures w14:val="none"/>
        </w:rPr>
        <w:t xml:space="preserve">Museo y Centro de Visitantes </w:t>
      </w:r>
      <w:proofErr w:type="spellStart"/>
      <w:r w:rsidR="005E1559" w:rsidRPr="008F2249">
        <w:rPr>
          <w:rFonts w:ascii="Calibri" w:hAnsi="Calibri" w:cs="Calibri"/>
          <w:kern w:val="0"/>
          <w:sz w:val="24"/>
          <w:szCs w:val="24"/>
          <w14:ligatures w14:val="none"/>
        </w:rPr>
        <w:t>Schuk</w:t>
      </w:r>
      <w:proofErr w:type="spellEnd"/>
      <w:r w:rsidR="005E1559" w:rsidRPr="008F2249">
        <w:rPr>
          <w:rFonts w:ascii="Calibri" w:hAnsi="Calibri" w:cs="Calibri"/>
          <w:kern w:val="0"/>
          <w:sz w:val="24"/>
          <w:szCs w:val="24"/>
          <w14:ligatures w14:val="none"/>
        </w:rPr>
        <w:t xml:space="preserve"> </w:t>
      </w:r>
      <w:proofErr w:type="spellStart"/>
      <w:r w:rsidR="005E1559" w:rsidRPr="008F2249">
        <w:rPr>
          <w:rFonts w:ascii="Calibri" w:hAnsi="Calibri" w:cs="Calibri"/>
          <w:kern w:val="0"/>
          <w:sz w:val="24"/>
          <w:szCs w:val="24"/>
          <w14:ligatures w14:val="none"/>
        </w:rPr>
        <w:t>Toak</w:t>
      </w:r>
      <w:proofErr w:type="spellEnd"/>
      <w:r w:rsidR="005E1559" w:rsidRPr="008F2249">
        <w:rPr>
          <w:rFonts w:ascii="Calibri" w:hAnsi="Calibri" w:cs="Calibri"/>
          <w:kern w:val="0"/>
          <w:sz w:val="24"/>
          <w:szCs w:val="24"/>
          <w14:ligatures w14:val="none"/>
        </w:rPr>
        <w:t>: Número de visitantes registrados 2009-2021</w:t>
      </w:r>
    </w:p>
    <w:p w14:paraId="5E491670" w14:textId="77777777" w:rsidR="001F5608" w:rsidRDefault="0049583F" w:rsidP="003D0615">
      <w:pPr>
        <w:suppressAutoHyphens/>
        <w:spacing w:line="240" w:lineRule="auto"/>
        <w:ind w:firstLine="709"/>
        <w:rPr>
          <w:rFonts w:ascii="Calibri" w:hAnsi="Calibri" w:cs="Calibri"/>
          <w:kern w:val="0"/>
          <w:sz w:val="24"/>
          <w:szCs w:val="24"/>
          <w:lang w:val="es-ES"/>
          <w14:ligatures w14:val="none"/>
        </w:rPr>
      </w:pPr>
      <w:r w:rsidRPr="00D44E2B">
        <w:rPr>
          <w:rFonts w:ascii="Calibri" w:hAnsi="Calibri" w:cs="Calibri"/>
          <w:noProof/>
          <w:kern w:val="0"/>
          <w:sz w:val="24"/>
          <w:szCs w:val="24"/>
          <w14:ligatures w14:val="none"/>
        </w:rPr>
        <w:drawing>
          <wp:inline distT="0" distB="0" distL="0" distR="0" wp14:anchorId="0553F804" wp14:editId="1BA10AF4">
            <wp:extent cx="4533900" cy="2667000"/>
            <wp:effectExtent l="0" t="0" r="0" b="0"/>
            <wp:docPr id="4" name="Object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366CAB" w14:textId="6BD7E161" w:rsidR="0049583F" w:rsidRPr="001F5608" w:rsidRDefault="001F5608" w:rsidP="003D0615">
      <w:pPr>
        <w:suppressAutoHyphens/>
        <w:spacing w:line="240" w:lineRule="auto"/>
        <w:rPr>
          <w:rFonts w:ascii="Calibri" w:hAnsi="Calibri" w:cs="Calibri"/>
          <w:kern w:val="0"/>
          <w:sz w:val="20"/>
          <w:szCs w:val="20"/>
          <w:lang w:val="es-ES"/>
          <w14:ligatures w14:val="none"/>
        </w:rPr>
      </w:pPr>
      <w:r w:rsidRPr="001F5608">
        <w:rPr>
          <w:rFonts w:ascii="Calibri" w:hAnsi="Calibri" w:cs="Calibri"/>
          <w:kern w:val="0"/>
          <w:sz w:val="20"/>
          <w:szCs w:val="20"/>
          <w:lang w:val="es-ES"/>
          <w14:ligatures w14:val="none"/>
        </w:rPr>
        <w:t>Nota</w:t>
      </w:r>
      <w:r w:rsidR="0049583F" w:rsidRPr="001F5608">
        <w:rPr>
          <w:rFonts w:ascii="Calibri" w:hAnsi="Calibri" w:cs="Calibri"/>
          <w:kern w:val="0"/>
          <w:sz w:val="20"/>
          <w:szCs w:val="20"/>
          <w:lang w:val="es-ES"/>
          <w14:ligatures w14:val="none"/>
        </w:rPr>
        <w:t>: Elaboración propia con base en bases de datos de la Reserva de la Biosfera El Pinacate y Gran Desierto de Altar</w:t>
      </w:r>
    </w:p>
    <w:p w14:paraId="5CE5E56D" w14:textId="697F40DA" w:rsidR="00B97339" w:rsidRPr="00D44E2B" w:rsidRDefault="0049583F" w:rsidP="003D0615">
      <w:pPr>
        <w:suppressAutoHyphens/>
        <w:spacing w:line="240" w:lineRule="auto"/>
        <w:ind w:firstLine="709"/>
        <w:jc w:val="both"/>
        <w:rPr>
          <w:rFonts w:ascii="Calibri" w:hAnsi="Calibri" w:cs="Calibri"/>
          <w:kern w:val="0"/>
          <w:sz w:val="24"/>
          <w:szCs w:val="24"/>
          <w:lang w:val="es-ES"/>
          <w14:ligatures w14:val="none"/>
        </w:rPr>
      </w:pPr>
      <w:r w:rsidRPr="00D44E2B">
        <w:rPr>
          <w:rFonts w:ascii="Calibri" w:hAnsi="Calibri" w:cs="Calibri"/>
          <w:kern w:val="0"/>
          <w:sz w:val="24"/>
          <w:szCs w:val="24"/>
          <w:lang w:val="es-ES"/>
          <w14:ligatures w14:val="none"/>
        </w:rPr>
        <w:lastRenderedPageBreak/>
        <w:t>En lo que se refiere a las estadísticas de visitantes por origen, se muestran a continuación en la Figura 3.</w:t>
      </w:r>
      <w:r w:rsidR="00B97339" w:rsidRPr="00B97339">
        <w:rPr>
          <w:rFonts w:ascii="Calibri" w:hAnsi="Calibri" w:cs="Calibri"/>
          <w:kern w:val="0"/>
          <w:sz w:val="24"/>
          <w:szCs w:val="24"/>
          <w:lang w:val="es-ES"/>
          <w14:ligatures w14:val="none"/>
        </w:rPr>
        <w:t xml:space="preserve"> </w:t>
      </w:r>
      <w:r w:rsidR="00B97339">
        <w:rPr>
          <w:rFonts w:ascii="Calibri" w:hAnsi="Calibri" w:cs="Calibri"/>
          <w:kern w:val="0"/>
          <w:sz w:val="24"/>
          <w:szCs w:val="24"/>
          <w:lang w:val="es-ES"/>
          <w14:ligatures w14:val="none"/>
        </w:rPr>
        <w:t>Donde e</w:t>
      </w:r>
      <w:r w:rsidR="00B97339" w:rsidRPr="00D44E2B">
        <w:rPr>
          <w:rFonts w:ascii="Calibri" w:hAnsi="Calibri" w:cs="Calibri"/>
          <w:kern w:val="0"/>
          <w:sz w:val="24"/>
          <w:szCs w:val="24"/>
          <w:lang w:val="es-ES"/>
          <w14:ligatures w14:val="none"/>
        </w:rPr>
        <w:t xml:space="preserve">l origen de las personas que visitan El Museo y Centro de Visitantes </w:t>
      </w:r>
      <w:proofErr w:type="spellStart"/>
      <w:r w:rsidR="00B97339" w:rsidRPr="00D44E2B">
        <w:rPr>
          <w:rFonts w:ascii="Calibri" w:hAnsi="Calibri" w:cs="Calibri"/>
          <w:kern w:val="0"/>
          <w:sz w:val="24"/>
          <w:szCs w:val="24"/>
          <w:lang w:val="es-ES"/>
          <w14:ligatures w14:val="none"/>
        </w:rPr>
        <w:t>Schuk</w:t>
      </w:r>
      <w:proofErr w:type="spellEnd"/>
      <w:r w:rsidR="00B97339" w:rsidRPr="00D44E2B">
        <w:rPr>
          <w:rFonts w:ascii="Calibri" w:hAnsi="Calibri" w:cs="Calibri"/>
          <w:kern w:val="0"/>
          <w:sz w:val="24"/>
          <w:szCs w:val="24"/>
          <w:lang w:val="es-ES"/>
          <w14:ligatures w14:val="none"/>
        </w:rPr>
        <w:t xml:space="preserve"> </w:t>
      </w:r>
      <w:proofErr w:type="spellStart"/>
      <w:r w:rsidR="00B97339" w:rsidRPr="00D44E2B">
        <w:rPr>
          <w:rFonts w:ascii="Calibri" w:hAnsi="Calibri" w:cs="Calibri"/>
          <w:kern w:val="0"/>
          <w:sz w:val="24"/>
          <w:szCs w:val="24"/>
          <w:lang w:val="es-ES"/>
          <w14:ligatures w14:val="none"/>
        </w:rPr>
        <w:t>Toak</w:t>
      </w:r>
      <w:proofErr w:type="spellEnd"/>
      <w:r w:rsidR="00B97339" w:rsidRPr="00D44E2B">
        <w:rPr>
          <w:rFonts w:ascii="Calibri" w:hAnsi="Calibri" w:cs="Calibri"/>
          <w:kern w:val="0"/>
          <w:sz w:val="24"/>
          <w:szCs w:val="24"/>
          <w:lang w:val="es-ES"/>
          <w14:ligatures w14:val="none"/>
        </w:rPr>
        <w:t xml:space="preserve"> es diverso. Durante los años 2009 y 2010, el registro del turismo local mostró dominio sobre el nacional y el extranjero. A partir del año 2011, el turismo nacional se incrementó con respecto al local y extranjero, manteniendo esa tendencia hasta el año 2019. El aumento del turismo extranjero se dio principalmente a partir del nombramiento de la RBPGDA como Patrimonio Mundial y permaneció así hasta 2016.</w:t>
      </w:r>
    </w:p>
    <w:p w14:paraId="09759052" w14:textId="522A6F12" w:rsidR="0049583F" w:rsidRPr="00D44E2B" w:rsidRDefault="0049583F" w:rsidP="003D0615">
      <w:pPr>
        <w:keepNext/>
        <w:suppressAutoHyphens/>
        <w:spacing w:after="200" w:line="240" w:lineRule="auto"/>
        <w:ind w:left="709"/>
        <w:rPr>
          <w:rFonts w:ascii="Calibri" w:hAnsi="Calibri" w:cs="Calibri"/>
          <w:b/>
          <w:bCs/>
          <w:kern w:val="0"/>
          <w:sz w:val="24"/>
          <w:szCs w:val="24"/>
          <w14:ligatures w14:val="none"/>
        </w:rPr>
      </w:pPr>
      <w:r w:rsidRPr="00D44E2B">
        <w:rPr>
          <w:rFonts w:ascii="Calibri" w:hAnsi="Calibri" w:cs="Calibri"/>
          <w:b/>
          <w:bCs/>
          <w:kern w:val="0"/>
          <w:sz w:val="24"/>
          <w:szCs w:val="24"/>
          <w14:ligatures w14:val="none"/>
        </w:rPr>
        <w:t>Figura 3</w:t>
      </w:r>
      <w:r w:rsidR="005E1559">
        <w:rPr>
          <w:rFonts w:ascii="Calibri" w:hAnsi="Calibri" w:cs="Calibri"/>
          <w:b/>
          <w:bCs/>
          <w:kern w:val="0"/>
          <w:sz w:val="24"/>
          <w:szCs w:val="24"/>
          <w14:ligatures w14:val="none"/>
        </w:rPr>
        <w:t>.</w:t>
      </w:r>
      <w:r w:rsidR="008F2249">
        <w:rPr>
          <w:rFonts w:ascii="Calibri" w:hAnsi="Calibri" w:cs="Calibri"/>
          <w:b/>
          <w:bCs/>
          <w:kern w:val="0"/>
          <w:sz w:val="24"/>
          <w:szCs w:val="24"/>
          <w14:ligatures w14:val="none"/>
        </w:rPr>
        <w:t xml:space="preserve"> </w:t>
      </w:r>
      <w:r w:rsidR="005E1559" w:rsidRPr="008F2249">
        <w:rPr>
          <w:rFonts w:ascii="Calibri" w:hAnsi="Calibri" w:cs="Calibri"/>
          <w:kern w:val="0"/>
          <w:sz w:val="24"/>
          <w:szCs w:val="24"/>
          <w14:ligatures w14:val="none"/>
        </w:rPr>
        <w:t xml:space="preserve">Museo y Centro de Visitantes </w:t>
      </w:r>
      <w:proofErr w:type="spellStart"/>
      <w:r w:rsidR="005E1559" w:rsidRPr="008F2249">
        <w:rPr>
          <w:rFonts w:ascii="Calibri" w:hAnsi="Calibri" w:cs="Calibri"/>
          <w:kern w:val="0"/>
          <w:sz w:val="24"/>
          <w:szCs w:val="24"/>
          <w14:ligatures w14:val="none"/>
        </w:rPr>
        <w:t>Schuk</w:t>
      </w:r>
      <w:proofErr w:type="spellEnd"/>
      <w:r w:rsidR="005E1559" w:rsidRPr="008F2249">
        <w:rPr>
          <w:rFonts w:ascii="Calibri" w:hAnsi="Calibri" w:cs="Calibri"/>
          <w:kern w:val="0"/>
          <w:sz w:val="24"/>
          <w:szCs w:val="24"/>
          <w14:ligatures w14:val="none"/>
        </w:rPr>
        <w:t xml:space="preserve"> </w:t>
      </w:r>
      <w:proofErr w:type="spellStart"/>
      <w:r w:rsidR="005E1559" w:rsidRPr="008F2249">
        <w:rPr>
          <w:rFonts w:ascii="Calibri" w:hAnsi="Calibri" w:cs="Calibri"/>
          <w:kern w:val="0"/>
          <w:sz w:val="24"/>
          <w:szCs w:val="24"/>
          <w14:ligatures w14:val="none"/>
        </w:rPr>
        <w:t>Toak</w:t>
      </w:r>
      <w:proofErr w:type="spellEnd"/>
      <w:r w:rsidR="005E1559" w:rsidRPr="008F2249">
        <w:rPr>
          <w:rFonts w:ascii="Calibri" w:hAnsi="Calibri" w:cs="Calibri"/>
          <w:kern w:val="0"/>
          <w:sz w:val="24"/>
          <w:szCs w:val="24"/>
          <w14:ligatures w14:val="none"/>
        </w:rPr>
        <w:t>: Número de visitantes por origen, 2009-2021</w:t>
      </w:r>
    </w:p>
    <w:p w14:paraId="73EB80F5" w14:textId="77777777" w:rsidR="00E77DC6" w:rsidRDefault="0049583F" w:rsidP="003D0615">
      <w:pPr>
        <w:suppressAutoHyphens/>
        <w:spacing w:line="240" w:lineRule="auto"/>
        <w:ind w:firstLine="709"/>
        <w:rPr>
          <w:rFonts w:ascii="Calibri" w:hAnsi="Calibri" w:cs="Calibri"/>
          <w:kern w:val="0"/>
          <w:sz w:val="20"/>
          <w:szCs w:val="20"/>
          <w:lang w:val="es-ES"/>
          <w14:ligatures w14:val="none"/>
        </w:rPr>
      </w:pPr>
      <w:r w:rsidRPr="00D44E2B">
        <w:rPr>
          <w:rFonts w:ascii="Calibri" w:hAnsi="Calibri" w:cs="Calibri"/>
          <w:noProof/>
          <w:kern w:val="0"/>
          <w:sz w:val="24"/>
          <w:szCs w:val="24"/>
          <w14:ligatures w14:val="none"/>
        </w:rPr>
        <w:drawing>
          <wp:inline distT="0" distB="0" distL="0" distR="0" wp14:anchorId="1E416567" wp14:editId="25CABB80">
            <wp:extent cx="4733925" cy="3000375"/>
            <wp:effectExtent l="0" t="0" r="0" b="0"/>
            <wp:docPr id="5" name="Object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098A60" w14:textId="4255E2D3" w:rsidR="0049583F" w:rsidRPr="0090771E" w:rsidRDefault="001F5608" w:rsidP="003D0615">
      <w:pPr>
        <w:suppressAutoHyphens/>
        <w:spacing w:line="240" w:lineRule="auto"/>
        <w:ind w:left="709"/>
        <w:rPr>
          <w:rFonts w:ascii="Calibri" w:hAnsi="Calibri" w:cs="Calibri"/>
          <w:kern w:val="0"/>
          <w:sz w:val="20"/>
          <w:szCs w:val="20"/>
          <w:lang w:val="es-ES"/>
          <w14:ligatures w14:val="none"/>
        </w:rPr>
      </w:pPr>
      <w:r w:rsidRPr="0090771E">
        <w:rPr>
          <w:rFonts w:ascii="Calibri" w:hAnsi="Calibri" w:cs="Calibri"/>
          <w:kern w:val="0"/>
          <w:sz w:val="20"/>
          <w:szCs w:val="20"/>
          <w:lang w:val="es-ES"/>
          <w14:ligatures w14:val="none"/>
        </w:rPr>
        <w:t>Nota</w:t>
      </w:r>
      <w:r w:rsidR="0049583F" w:rsidRPr="0090771E">
        <w:rPr>
          <w:rFonts w:ascii="Calibri" w:hAnsi="Calibri" w:cs="Calibri"/>
          <w:kern w:val="0"/>
          <w:sz w:val="20"/>
          <w:szCs w:val="20"/>
          <w:lang w:val="es-ES"/>
          <w14:ligatures w14:val="none"/>
        </w:rPr>
        <w:t>: Elaboración propia con base en bases de datos Reserva de la Biosfera El Pinacate y Gran Desierto de Altar</w:t>
      </w:r>
    </w:p>
    <w:p w14:paraId="2F71BC38" w14:textId="77777777" w:rsidR="0049583F" w:rsidRPr="00D44E2B" w:rsidRDefault="0049583F" w:rsidP="003D0615">
      <w:pPr>
        <w:suppressAutoHyphens/>
        <w:spacing w:line="240" w:lineRule="auto"/>
        <w:ind w:firstLine="709"/>
        <w:jc w:val="both"/>
        <w:rPr>
          <w:rFonts w:ascii="Calibri" w:hAnsi="Calibri" w:cs="Calibri"/>
          <w:kern w:val="0"/>
          <w:sz w:val="24"/>
          <w:szCs w:val="24"/>
          <w:lang w:val="es-ES"/>
          <w14:ligatures w14:val="none"/>
        </w:rPr>
      </w:pPr>
      <w:r w:rsidRPr="00D44E2B">
        <w:rPr>
          <w:rFonts w:ascii="Calibri" w:hAnsi="Calibri" w:cs="Calibri"/>
          <w:kern w:val="0"/>
          <w:sz w:val="24"/>
          <w:szCs w:val="24"/>
          <w:lang w:val="es-ES"/>
          <w14:ligatures w14:val="none"/>
        </w:rPr>
        <w:t xml:space="preserve">La edad de los visitantes es otro factor importante que debe tomarse en cuenta al momento de hacer análisis del flujo turístico. La Figura 4 muestra el registro de visitantes por rango de edad en el Museo y Centro de Visitantes </w:t>
      </w:r>
      <w:proofErr w:type="spellStart"/>
      <w:r w:rsidRPr="00D44E2B">
        <w:rPr>
          <w:rFonts w:ascii="Calibri" w:hAnsi="Calibri" w:cs="Calibri"/>
          <w:kern w:val="0"/>
          <w:sz w:val="24"/>
          <w:szCs w:val="24"/>
          <w:lang w:val="es-ES"/>
          <w14:ligatures w14:val="none"/>
        </w:rPr>
        <w:t>Schuk</w:t>
      </w:r>
      <w:proofErr w:type="spellEnd"/>
      <w:r w:rsidRPr="00D44E2B">
        <w:rPr>
          <w:rFonts w:ascii="Calibri" w:hAnsi="Calibri" w:cs="Calibri"/>
          <w:kern w:val="0"/>
          <w:sz w:val="24"/>
          <w:szCs w:val="24"/>
          <w:lang w:val="es-ES"/>
          <w14:ligatures w14:val="none"/>
        </w:rPr>
        <w:t xml:space="preserve"> </w:t>
      </w:r>
      <w:proofErr w:type="spellStart"/>
      <w:r w:rsidRPr="00D44E2B">
        <w:rPr>
          <w:rFonts w:ascii="Calibri" w:hAnsi="Calibri" w:cs="Calibri"/>
          <w:kern w:val="0"/>
          <w:sz w:val="24"/>
          <w:szCs w:val="24"/>
          <w:lang w:val="es-ES"/>
          <w14:ligatures w14:val="none"/>
        </w:rPr>
        <w:t>Toak</w:t>
      </w:r>
      <w:proofErr w:type="spellEnd"/>
      <w:r w:rsidRPr="00D44E2B">
        <w:rPr>
          <w:rFonts w:ascii="Calibri" w:hAnsi="Calibri" w:cs="Calibri"/>
          <w:kern w:val="0"/>
          <w:sz w:val="24"/>
          <w:szCs w:val="24"/>
          <w:lang w:val="es-ES"/>
          <w14:ligatures w14:val="none"/>
        </w:rPr>
        <w:t>.</w:t>
      </w:r>
    </w:p>
    <w:p w14:paraId="1146AAB8" w14:textId="0322AA6A" w:rsidR="0049583F" w:rsidRPr="00D44E2B" w:rsidRDefault="0049583F" w:rsidP="003D0615">
      <w:pPr>
        <w:keepNext/>
        <w:suppressAutoHyphens/>
        <w:spacing w:after="200" w:line="240" w:lineRule="auto"/>
        <w:ind w:left="709"/>
        <w:rPr>
          <w:rFonts w:ascii="Calibri" w:hAnsi="Calibri" w:cs="Calibri"/>
          <w:b/>
          <w:bCs/>
          <w:kern w:val="0"/>
          <w:sz w:val="24"/>
          <w:szCs w:val="24"/>
          <w14:ligatures w14:val="none"/>
        </w:rPr>
      </w:pPr>
      <w:r w:rsidRPr="00D44E2B">
        <w:rPr>
          <w:rFonts w:ascii="Calibri" w:hAnsi="Calibri" w:cs="Calibri"/>
          <w:b/>
          <w:bCs/>
          <w:kern w:val="0"/>
          <w:sz w:val="24"/>
          <w:szCs w:val="24"/>
          <w14:ligatures w14:val="none"/>
        </w:rPr>
        <w:lastRenderedPageBreak/>
        <w:t>Figura 4</w:t>
      </w:r>
      <w:r w:rsidR="005E1559">
        <w:rPr>
          <w:rFonts w:ascii="Calibri" w:hAnsi="Calibri" w:cs="Calibri"/>
          <w:b/>
          <w:bCs/>
          <w:kern w:val="0"/>
          <w:sz w:val="24"/>
          <w:szCs w:val="24"/>
          <w14:ligatures w14:val="none"/>
        </w:rPr>
        <w:t>.</w:t>
      </w:r>
      <w:r w:rsidR="005577E1">
        <w:rPr>
          <w:rFonts w:ascii="Calibri" w:hAnsi="Calibri" w:cs="Calibri"/>
          <w:b/>
          <w:bCs/>
          <w:kern w:val="0"/>
          <w:sz w:val="24"/>
          <w:szCs w:val="24"/>
          <w14:ligatures w14:val="none"/>
        </w:rPr>
        <w:t xml:space="preserve"> </w:t>
      </w:r>
      <w:r w:rsidR="005E1559" w:rsidRPr="005577E1">
        <w:rPr>
          <w:rFonts w:ascii="Calibri" w:hAnsi="Calibri" w:cs="Calibri"/>
          <w:kern w:val="0"/>
          <w:sz w:val="24"/>
          <w:szCs w:val="24"/>
          <w14:ligatures w14:val="none"/>
        </w:rPr>
        <w:t xml:space="preserve">Museo y Centro de Visitantes </w:t>
      </w:r>
      <w:proofErr w:type="spellStart"/>
      <w:r w:rsidR="005E1559" w:rsidRPr="005577E1">
        <w:rPr>
          <w:rFonts w:ascii="Calibri" w:hAnsi="Calibri" w:cs="Calibri"/>
          <w:kern w:val="0"/>
          <w:sz w:val="24"/>
          <w:szCs w:val="24"/>
          <w14:ligatures w14:val="none"/>
        </w:rPr>
        <w:t>Schuk</w:t>
      </w:r>
      <w:proofErr w:type="spellEnd"/>
      <w:r w:rsidR="005E1559" w:rsidRPr="005577E1">
        <w:rPr>
          <w:rFonts w:ascii="Calibri" w:hAnsi="Calibri" w:cs="Calibri"/>
          <w:kern w:val="0"/>
          <w:sz w:val="24"/>
          <w:szCs w:val="24"/>
          <w14:ligatures w14:val="none"/>
        </w:rPr>
        <w:t xml:space="preserve"> </w:t>
      </w:r>
      <w:proofErr w:type="spellStart"/>
      <w:r w:rsidR="005E1559" w:rsidRPr="005577E1">
        <w:rPr>
          <w:rFonts w:ascii="Calibri" w:hAnsi="Calibri" w:cs="Calibri"/>
          <w:kern w:val="0"/>
          <w:sz w:val="24"/>
          <w:szCs w:val="24"/>
          <w14:ligatures w14:val="none"/>
        </w:rPr>
        <w:t>Toak</w:t>
      </w:r>
      <w:proofErr w:type="spellEnd"/>
      <w:r w:rsidR="005E1559" w:rsidRPr="005577E1">
        <w:rPr>
          <w:rFonts w:ascii="Calibri" w:hAnsi="Calibri" w:cs="Calibri"/>
          <w:kern w:val="0"/>
          <w:sz w:val="24"/>
          <w:szCs w:val="24"/>
          <w14:ligatures w14:val="none"/>
        </w:rPr>
        <w:t>: Número de visitantes por rango de edad, 2009-2021</w:t>
      </w:r>
    </w:p>
    <w:p w14:paraId="5F101BF3" w14:textId="77777777" w:rsidR="0049583F" w:rsidRPr="00D44E2B" w:rsidRDefault="0049583F" w:rsidP="003D0615">
      <w:pPr>
        <w:suppressAutoHyphens/>
        <w:spacing w:line="240" w:lineRule="auto"/>
        <w:ind w:firstLine="709"/>
        <w:rPr>
          <w:rFonts w:ascii="Calibri" w:hAnsi="Calibri" w:cs="Calibri"/>
          <w:kern w:val="0"/>
          <w:sz w:val="24"/>
          <w:szCs w:val="24"/>
          <w:lang w:val="es-ES"/>
          <w14:ligatures w14:val="none"/>
        </w:rPr>
      </w:pPr>
      <w:r w:rsidRPr="00D44E2B">
        <w:rPr>
          <w:rFonts w:ascii="Calibri" w:hAnsi="Calibri" w:cs="Calibri"/>
          <w:noProof/>
          <w:kern w:val="0"/>
          <w:sz w:val="24"/>
          <w:szCs w:val="24"/>
          <w14:ligatures w14:val="none"/>
        </w:rPr>
        <w:drawing>
          <wp:inline distT="0" distB="0" distL="0" distR="0" wp14:anchorId="05C73095" wp14:editId="731FE236">
            <wp:extent cx="5000625" cy="3248025"/>
            <wp:effectExtent l="0" t="0" r="0" b="0"/>
            <wp:docPr id="6" name="Object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0D2195" w14:textId="0AB6A54B" w:rsidR="0049583F" w:rsidRPr="0090771E" w:rsidRDefault="0090771E" w:rsidP="003D0615">
      <w:pPr>
        <w:suppressAutoHyphens/>
        <w:spacing w:line="240" w:lineRule="auto"/>
        <w:ind w:left="709"/>
        <w:jc w:val="both"/>
        <w:rPr>
          <w:rFonts w:ascii="Calibri" w:hAnsi="Calibri" w:cs="Calibri"/>
          <w:kern w:val="0"/>
          <w:sz w:val="20"/>
          <w:szCs w:val="20"/>
          <w:lang w:val="es-ES"/>
          <w14:ligatures w14:val="none"/>
        </w:rPr>
      </w:pPr>
      <w:r w:rsidRPr="0090771E">
        <w:rPr>
          <w:rFonts w:ascii="Calibri" w:hAnsi="Calibri" w:cs="Calibri"/>
          <w:kern w:val="0"/>
          <w:sz w:val="20"/>
          <w:szCs w:val="20"/>
          <w:lang w:val="es-ES"/>
          <w14:ligatures w14:val="none"/>
        </w:rPr>
        <w:t>Nota</w:t>
      </w:r>
      <w:r w:rsidR="0049583F" w:rsidRPr="0090771E">
        <w:rPr>
          <w:rFonts w:ascii="Calibri" w:hAnsi="Calibri" w:cs="Calibri"/>
          <w:kern w:val="0"/>
          <w:sz w:val="20"/>
          <w:szCs w:val="20"/>
          <w:lang w:val="es-ES"/>
          <w14:ligatures w14:val="none"/>
        </w:rPr>
        <w:t>: Elaboración propia con base en bases de datos Reserva de la Biosfera El Pinacate y Gran Desierto de Altar</w:t>
      </w:r>
    </w:p>
    <w:p w14:paraId="14258F87" w14:textId="41319637" w:rsidR="00A307C7" w:rsidRPr="006B6B87" w:rsidRDefault="0049583F" w:rsidP="003D0615">
      <w:pPr>
        <w:suppressAutoHyphens/>
        <w:spacing w:line="240" w:lineRule="auto"/>
        <w:ind w:firstLine="709"/>
        <w:jc w:val="both"/>
        <w:rPr>
          <w:rFonts w:ascii="Calibri" w:hAnsi="Calibri" w:cs="Calibri"/>
          <w:kern w:val="0"/>
          <w:sz w:val="24"/>
          <w:szCs w:val="24"/>
          <w:lang w:val="es-ES"/>
          <w14:ligatures w14:val="none"/>
        </w:rPr>
      </w:pPr>
      <w:r w:rsidRPr="00D44E2B">
        <w:rPr>
          <w:rFonts w:ascii="Calibri" w:hAnsi="Calibri" w:cs="Calibri"/>
          <w:kern w:val="0"/>
          <w:sz w:val="24"/>
          <w:szCs w:val="24"/>
          <w:lang w:val="es-ES"/>
          <w14:ligatures w14:val="none"/>
        </w:rPr>
        <w:t xml:space="preserve">El rango de edad dominante en las personas que visitan el Museo y Centro de Visitantes </w:t>
      </w:r>
      <w:proofErr w:type="spellStart"/>
      <w:r w:rsidRPr="00D44E2B">
        <w:rPr>
          <w:rFonts w:ascii="Calibri" w:hAnsi="Calibri" w:cs="Calibri"/>
          <w:kern w:val="0"/>
          <w:sz w:val="24"/>
          <w:szCs w:val="24"/>
          <w:lang w:val="es-ES"/>
          <w14:ligatures w14:val="none"/>
        </w:rPr>
        <w:t>Schuk</w:t>
      </w:r>
      <w:proofErr w:type="spellEnd"/>
      <w:r w:rsidRPr="00D44E2B">
        <w:rPr>
          <w:rFonts w:ascii="Calibri" w:hAnsi="Calibri" w:cs="Calibri"/>
          <w:kern w:val="0"/>
          <w:sz w:val="24"/>
          <w:szCs w:val="24"/>
          <w:lang w:val="es-ES"/>
          <w14:ligatures w14:val="none"/>
        </w:rPr>
        <w:t xml:space="preserve"> </w:t>
      </w:r>
      <w:proofErr w:type="spellStart"/>
      <w:r w:rsidRPr="00D44E2B">
        <w:rPr>
          <w:rFonts w:ascii="Calibri" w:hAnsi="Calibri" w:cs="Calibri"/>
          <w:kern w:val="0"/>
          <w:sz w:val="24"/>
          <w:szCs w:val="24"/>
          <w:lang w:val="es-ES"/>
          <w14:ligatures w14:val="none"/>
        </w:rPr>
        <w:t>Toak</w:t>
      </w:r>
      <w:proofErr w:type="spellEnd"/>
      <w:r w:rsidRPr="00D44E2B">
        <w:rPr>
          <w:rFonts w:ascii="Calibri" w:hAnsi="Calibri" w:cs="Calibri"/>
          <w:kern w:val="0"/>
          <w:sz w:val="24"/>
          <w:szCs w:val="24"/>
          <w:lang w:val="es-ES"/>
          <w14:ligatures w14:val="none"/>
        </w:rPr>
        <w:t xml:space="preserve"> es de 21 a 60 años, lo que representa a la población económicamente activa, seguido por las personas de entre 13 a 20 años, ya que, además de las visitas normales, se cuenta con registros de grupos escolares que entran en este rango de edad. El rango siguiente son las personas de 60 años o más. Los visitantes de 0 a 6 años, en algunos años muestran mayor incremento respecto a otro rango de edad. </w:t>
      </w:r>
      <w:r w:rsidRPr="00322D18">
        <w:rPr>
          <w:rFonts w:ascii="Calibri" w:hAnsi="Calibri" w:cs="Calibri"/>
          <w:kern w:val="0"/>
          <w:sz w:val="24"/>
          <w:szCs w:val="24"/>
          <w:lang w:val="es-ES"/>
          <w14:ligatures w14:val="none"/>
        </w:rPr>
        <w:t>Esto pudiera explicarse por la atención de grupos de educación preescolar.</w:t>
      </w:r>
      <w:r w:rsidRPr="00D44E2B">
        <w:rPr>
          <w:rFonts w:ascii="Calibri" w:hAnsi="Calibri" w:cs="Calibri"/>
          <w:kern w:val="0"/>
          <w:sz w:val="24"/>
          <w:szCs w:val="24"/>
          <w:lang w:val="es-ES"/>
          <w14:ligatures w14:val="none"/>
        </w:rPr>
        <w:t xml:space="preserve"> </w:t>
      </w:r>
    </w:p>
    <w:p w14:paraId="4BAD8A53" w14:textId="643BD4CB" w:rsidR="0049583F" w:rsidRDefault="006B6B87" w:rsidP="003D0615">
      <w:pPr>
        <w:suppressAutoHyphens/>
        <w:spacing w:line="240" w:lineRule="auto"/>
        <w:ind w:firstLine="709"/>
        <w:jc w:val="both"/>
        <w:rPr>
          <w:rFonts w:ascii="Calibri" w:hAnsi="Calibri" w:cs="Calibri"/>
          <w:b/>
          <w:bCs/>
          <w:kern w:val="0"/>
          <w:sz w:val="24"/>
          <w:szCs w:val="24"/>
          <w:lang w:val="es-ES"/>
          <w14:ligatures w14:val="none"/>
        </w:rPr>
      </w:pPr>
      <w:r>
        <w:rPr>
          <w:rFonts w:ascii="Calibri" w:hAnsi="Calibri" w:cs="Calibri"/>
          <w:b/>
          <w:bCs/>
          <w:kern w:val="0"/>
          <w:sz w:val="24"/>
          <w:szCs w:val="24"/>
          <w:lang w:val="es-ES"/>
          <w14:ligatures w14:val="none"/>
        </w:rPr>
        <w:t xml:space="preserve">3.3 </w:t>
      </w:r>
      <w:r w:rsidR="0049583F" w:rsidRPr="00D44E2B">
        <w:rPr>
          <w:rFonts w:ascii="Calibri" w:hAnsi="Calibri" w:cs="Calibri"/>
          <w:b/>
          <w:bCs/>
          <w:kern w:val="0"/>
          <w:sz w:val="24"/>
          <w:szCs w:val="24"/>
          <w:lang w:val="es-ES"/>
          <w14:ligatures w14:val="none"/>
        </w:rPr>
        <w:t>Análisis del Modelo</w:t>
      </w:r>
    </w:p>
    <w:p w14:paraId="708B51AE" w14:textId="44344886" w:rsidR="006B6B87" w:rsidRDefault="006B6B87" w:rsidP="003D0615">
      <w:pPr>
        <w:suppressAutoHyphens/>
        <w:spacing w:line="240" w:lineRule="auto"/>
        <w:ind w:firstLine="709"/>
        <w:jc w:val="both"/>
        <w:rPr>
          <w:rFonts w:ascii="Calibri" w:hAnsi="Calibri" w:cs="Calibri"/>
          <w:kern w:val="0"/>
          <w:sz w:val="24"/>
          <w:szCs w:val="24"/>
          <w:lang w:val="es-ES"/>
          <w14:ligatures w14:val="none"/>
        </w:rPr>
      </w:pPr>
      <w:r>
        <w:rPr>
          <w:rFonts w:ascii="Calibri" w:hAnsi="Calibri" w:cs="Calibri"/>
          <w:kern w:val="0"/>
          <w:sz w:val="24"/>
          <w:szCs w:val="24"/>
          <w:lang w:val="es-ES"/>
          <w14:ligatures w14:val="none"/>
        </w:rPr>
        <w:t>Con el fin de validar los supuestos del modelo de regresión lineal que se elaboró, se presenta la Tabla 4</w:t>
      </w:r>
      <w:r w:rsidR="0063691F">
        <w:rPr>
          <w:rFonts w:ascii="Calibri" w:hAnsi="Calibri" w:cs="Calibri"/>
          <w:kern w:val="0"/>
          <w:sz w:val="24"/>
          <w:szCs w:val="24"/>
          <w:lang w:val="es-ES"/>
          <w14:ligatures w14:val="none"/>
        </w:rPr>
        <w:t>.</w:t>
      </w:r>
    </w:p>
    <w:p w14:paraId="072B6D05" w14:textId="77777777" w:rsidR="00E77DC6" w:rsidRDefault="00E77DC6" w:rsidP="003D0615">
      <w:pPr>
        <w:suppressAutoHyphens/>
        <w:spacing w:line="240" w:lineRule="auto"/>
        <w:ind w:firstLine="709"/>
        <w:jc w:val="both"/>
        <w:rPr>
          <w:rFonts w:ascii="Calibri" w:hAnsi="Calibri" w:cs="Calibri"/>
          <w:kern w:val="0"/>
          <w:sz w:val="24"/>
          <w:szCs w:val="24"/>
          <w:lang w:val="es-ES"/>
          <w14:ligatures w14:val="none"/>
        </w:rPr>
      </w:pPr>
    </w:p>
    <w:p w14:paraId="71762CBA" w14:textId="77777777" w:rsidR="00E77DC6" w:rsidRDefault="00E77DC6" w:rsidP="003D0615">
      <w:pPr>
        <w:suppressAutoHyphens/>
        <w:spacing w:line="240" w:lineRule="auto"/>
        <w:ind w:firstLine="709"/>
        <w:jc w:val="both"/>
        <w:rPr>
          <w:rFonts w:ascii="Calibri" w:hAnsi="Calibri" w:cs="Calibri"/>
          <w:kern w:val="0"/>
          <w:sz w:val="24"/>
          <w:szCs w:val="24"/>
          <w:lang w:val="es-ES"/>
          <w14:ligatures w14:val="none"/>
        </w:rPr>
      </w:pPr>
    </w:p>
    <w:p w14:paraId="2F76AE4D" w14:textId="77777777" w:rsidR="00E77DC6" w:rsidRDefault="00E77DC6" w:rsidP="003D0615">
      <w:pPr>
        <w:suppressAutoHyphens/>
        <w:spacing w:line="240" w:lineRule="auto"/>
        <w:ind w:firstLine="709"/>
        <w:jc w:val="both"/>
        <w:rPr>
          <w:rFonts w:ascii="Calibri" w:hAnsi="Calibri" w:cs="Calibri"/>
          <w:kern w:val="0"/>
          <w:sz w:val="24"/>
          <w:szCs w:val="24"/>
          <w:lang w:val="es-ES"/>
          <w14:ligatures w14:val="none"/>
        </w:rPr>
      </w:pPr>
    </w:p>
    <w:p w14:paraId="46F12BA3" w14:textId="77777777" w:rsidR="00E77DC6" w:rsidRDefault="00E77DC6" w:rsidP="003D0615">
      <w:pPr>
        <w:suppressAutoHyphens/>
        <w:spacing w:line="240" w:lineRule="auto"/>
        <w:ind w:firstLine="709"/>
        <w:jc w:val="both"/>
        <w:rPr>
          <w:rFonts w:ascii="Calibri" w:hAnsi="Calibri" w:cs="Calibri"/>
          <w:kern w:val="0"/>
          <w:sz w:val="24"/>
          <w:szCs w:val="24"/>
          <w:lang w:val="es-ES"/>
          <w14:ligatures w14:val="none"/>
        </w:rPr>
      </w:pPr>
    </w:p>
    <w:p w14:paraId="619B7DE6" w14:textId="48E0EB7A" w:rsidR="0012190E" w:rsidRPr="00C46A11" w:rsidRDefault="0012190E" w:rsidP="003D0615">
      <w:pPr>
        <w:suppressAutoHyphens/>
        <w:spacing w:line="240" w:lineRule="auto"/>
        <w:ind w:firstLine="709"/>
        <w:jc w:val="both"/>
        <w:rPr>
          <w:rFonts w:ascii="Calibri" w:eastAsiaTheme="minorEastAsia" w:hAnsi="Calibri" w:cs="Calibri"/>
          <w:color w:val="000000"/>
          <w:sz w:val="24"/>
          <w:szCs w:val="24"/>
          <w14:ligatures w14:val="none"/>
        </w:rPr>
      </w:pPr>
      <w:r w:rsidRPr="00C46A11">
        <w:rPr>
          <w:rFonts w:ascii="Calibri" w:eastAsiaTheme="minorEastAsia" w:hAnsi="Calibri" w:cs="Calibri"/>
          <w:b/>
          <w:bCs/>
          <w:color w:val="000000"/>
          <w:sz w:val="24"/>
          <w:szCs w:val="24"/>
          <w14:ligatures w14:val="none"/>
        </w:rPr>
        <w:lastRenderedPageBreak/>
        <w:t xml:space="preserve">Tabla </w:t>
      </w:r>
      <w:r w:rsidR="006B6B87" w:rsidRPr="00C46A11">
        <w:rPr>
          <w:rFonts w:ascii="Calibri" w:eastAsiaTheme="minorEastAsia" w:hAnsi="Calibri" w:cs="Calibri"/>
          <w:b/>
          <w:bCs/>
          <w:color w:val="000000"/>
          <w:sz w:val="24"/>
          <w:szCs w:val="24"/>
          <w14:ligatures w14:val="none"/>
        </w:rPr>
        <w:t>4</w:t>
      </w:r>
      <w:r w:rsidRPr="00C46A11">
        <w:rPr>
          <w:rFonts w:ascii="Calibri" w:eastAsiaTheme="minorEastAsia" w:hAnsi="Calibri" w:cs="Calibri"/>
          <w:color w:val="000000"/>
          <w:sz w:val="24"/>
          <w:szCs w:val="24"/>
          <w14:ligatures w14:val="none"/>
        </w:rPr>
        <w:t>. Validación de supuestos del modelo de regresión lineal</w:t>
      </w:r>
    </w:p>
    <w:tbl>
      <w:tblPr>
        <w:tblW w:w="9639" w:type="dxa"/>
        <w:tblInd w:w="-395" w:type="dxa"/>
        <w:tblLayout w:type="fixed"/>
        <w:tblCellMar>
          <w:left w:w="70" w:type="dxa"/>
          <w:right w:w="70" w:type="dxa"/>
        </w:tblCellMar>
        <w:tblLook w:val="04A0" w:firstRow="1" w:lastRow="0" w:firstColumn="1" w:lastColumn="0" w:noHBand="0" w:noVBand="1"/>
      </w:tblPr>
      <w:tblGrid>
        <w:gridCol w:w="1701"/>
        <w:gridCol w:w="2977"/>
        <w:gridCol w:w="2379"/>
        <w:gridCol w:w="2582"/>
      </w:tblGrid>
      <w:tr w:rsidR="00FA4146" w:rsidRPr="00E77DC6" w14:paraId="0A4FD055" w14:textId="77777777" w:rsidTr="004C6B94">
        <w:trPr>
          <w:trHeight w:val="397"/>
        </w:trPr>
        <w:tc>
          <w:tcPr>
            <w:tcW w:w="1701" w:type="dxa"/>
            <w:tcBorders>
              <w:top w:val="single" w:sz="8" w:space="0" w:color="auto"/>
              <w:left w:val="nil"/>
              <w:bottom w:val="single" w:sz="8" w:space="0" w:color="auto"/>
              <w:right w:val="nil"/>
            </w:tcBorders>
            <w:vAlign w:val="center"/>
            <w:hideMark/>
          </w:tcPr>
          <w:p w14:paraId="00AFC289" w14:textId="77777777" w:rsidR="00FA4146" w:rsidRPr="00E77DC6" w:rsidRDefault="00FA4146"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r w:rsidRPr="00E77DC6">
              <w:rPr>
                <w:rFonts w:ascii="Calibri" w:eastAsia="Times New Roman" w:hAnsi="Calibri" w:cs="Calibri"/>
                <w:b/>
                <w:bCs/>
                <w:color w:val="000000"/>
                <w:kern w:val="0"/>
                <w:sz w:val="20"/>
                <w:szCs w:val="20"/>
                <w:lang w:eastAsia="es-MX"/>
                <w14:ligatures w14:val="none"/>
              </w:rPr>
              <w:t>Supuesto</w:t>
            </w:r>
          </w:p>
        </w:tc>
        <w:tc>
          <w:tcPr>
            <w:tcW w:w="2977" w:type="dxa"/>
            <w:tcBorders>
              <w:top w:val="single" w:sz="8" w:space="0" w:color="auto"/>
              <w:left w:val="nil"/>
              <w:bottom w:val="single" w:sz="8" w:space="0" w:color="auto"/>
              <w:right w:val="nil"/>
            </w:tcBorders>
            <w:vAlign w:val="center"/>
            <w:hideMark/>
          </w:tcPr>
          <w:p w14:paraId="71C6B1B9" w14:textId="77777777" w:rsidR="00FA4146" w:rsidRPr="00E77DC6" w:rsidRDefault="00FA4146"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r w:rsidRPr="00E77DC6">
              <w:rPr>
                <w:rFonts w:ascii="Calibri" w:eastAsia="Times New Roman" w:hAnsi="Calibri" w:cs="Calibri"/>
                <w:b/>
                <w:bCs/>
                <w:color w:val="000000"/>
                <w:kern w:val="0"/>
                <w:sz w:val="20"/>
                <w:szCs w:val="20"/>
                <w:lang w:eastAsia="es-MX"/>
                <w14:ligatures w14:val="none"/>
              </w:rPr>
              <w:t>Método de validación</w:t>
            </w:r>
          </w:p>
        </w:tc>
        <w:tc>
          <w:tcPr>
            <w:tcW w:w="2379" w:type="dxa"/>
            <w:tcBorders>
              <w:top w:val="single" w:sz="8" w:space="0" w:color="auto"/>
              <w:left w:val="nil"/>
              <w:bottom w:val="single" w:sz="8" w:space="0" w:color="auto"/>
              <w:right w:val="nil"/>
            </w:tcBorders>
            <w:vAlign w:val="center"/>
            <w:hideMark/>
          </w:tcPr>
          <w:p w14:paraId="6E9CE9A3" w14:textId="77777777" w:rsidR="00FA4146" w:rsidRPr="00E77DC6" w:rsidRDefault="00FA4146"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r w:rsidRPr="00E77DC6">
              <w:rPr>
                <w:rFonts w:ascii="Calibri" w:eastAsia="Times New Roman" w:hAnsi="Calibri" w:cs="Calibri"/>
                <w:b/>
                <w:bCs/>
                <w:color w:val="000000"/>
                <w:kern w:val="0"/>
                <w:sz w:val="20"/>
                <w:szCs w:val="20"/>
                <w:lang w:eastAsia="es-MX"/>
                <w14:ligatures w14:val="none"/>
              </w:rPr>
              <w:t>Resultados</w:t>
            </w:r>
          </w:p>
        </w:tc>
        <w:tc>
          <w:tcPr>
            <w:tcW w:w="2582" w:type="dxa"/>
            <w:tcBorders>
              <w:top w:val="single" w:sz="8" w:space="0" w:color="auto"/>
              <w:left w:val="nil"/>
              <w:bottom w:val="single" w:sz="8" w:space="0" w:color="auto"/>
              <w:right w:val="nil"/>
            </w:tcBorders>
            <w:vAlign w:val="center"/>
            <w:hideMark/>
          </w:tcPr>
          <w:p w14:paraId="14BBF918" w14:textId="77777777" w:rsidR="00FA4146" w:rsidRPr="00E77DC6" w:rsidRDefault="00FA4146" w:rsidP="003D0615">
            <w:pPr>
              <w:spacing w:after="0" w:line="240" w:lineRule="auto"/>
              <w:ind w:firstLine="709"/>
              <w:jc w:val="center"/>
              <w:rPr>
                <w:rFonts w:ascii="Calibri" w:eastAsia="Times New Roman" w:hAnsi="Calibri" w:cs="Calibri"/>
                <w:b/>
                <w:bCs/>
                <w:color w:val="000000"/>
                <w:kern w:val="0"/>
                <w:sz w:val="20"/>
                <w:szCs w:val="20"/>
                <w:lang w:eastAsia="es-MX"/>
                <w14:ligatures w14:val="none"/>
              </w:rPr>
            </w:pPr>
            <w:r w:rsidRPr="00E77DC6">
              <w:rPr>
                <w:rFonts w:ascii="Calibri" w:eastAsia="Times New Roman" w:hAnsi="Calibri" w:cs="Calibri"/>
                <w:b/>
                <w:bCs/>
                <w:color w:val="000000"/>
                <w:kern w:val="0"/>
                <w:sz w:val="20"/>
                <w:szCs w:val="20"/>
                <w:lang w:eastAsia="es-MX"/>
                <w14:ligatures w14:val="none"/>
              </w:rPr>
              <w:t>Conclusión</w:t>
            </w:r>
          </w:p>
        </w:tc>
      </w:tr>
      <w:tr w:rsidR="00FA4146" w:rsidRPr="00E77DC6" w14:paraId="1DC51323" w14:textId="77777777" w:rsidTr="004C6B94">
        <w:trPr>
          <w:trHeight w:val="397"/>
        </w:trPr>
        <w:tc>
          <w:tcPr>
            <w:tcW w:w="1701" w:type="dxa"/>
            <w:vMerge w:val="restart"/>
            <w:tcBorders>
              <w:top w:val="nil"/>
              <w:left w:val="nil"/>
              <w:bottom w:val="nil"/>
              <w:right w:val="nil"/>
            </w:tcBorders>
            <w:vAlign w:val="center"/>
            <w:hideMark/>
          </w:tcPr>
          <w:p w14:paraId="32F812B7" w14:textId="77777777" w:rsidR="00FA4146" w:rsidRPr="00E77DC6" w:rsidRDefault="00FA4146" w:rsidP="003D0615">
            <w:pPr>
              <w:spacing w:after="0" w:line="240" w:lineRule="auto"/>
              <w:jc w:val="both"/>
              <w:rPr>
                <w:rFonts w:ascii="Calibri" w:eastAsia="Times New Roman" w:hAnsi="Calibri" w:cs="Calibri"/>
                <w:b/>
                <w:bCs/>
                <w:color w:val="000000"/>
                <w:kern w:val="0"/>
                <w:sz w:val="20"/>
                <w:szCs w:val="20"/>
                <w:lang w:eastAsia="es-MX"/>
                <w14:ligatures w14:val="none"/>
              </w:rPr>
            </w:pPr>
            <w:r w:rsidRPr="00E77DC6">
              <w:rPr>
                <w:rFonts w:ascii="Calibri" w:eastAsia="Times New Roman" w:hAnsi="Calibri" w:cs="Calibri"/>
                <w:b/>
                <w:bCs/>
                <w:color w:val="000000"/>
                <w:kern w:val="0"/>
                <w:sz w:val="20"/>
                <w:szCs w:val="20"/>
                <w:lang w:eastAsia="es-MX"/>
                <w14:ligatures w14:val="none"/>
              </w:rPr>
              <w:t>Linealidad</w:t>
            </w:r>
          </w:p>
        </w:tc>
        <w:tc>
          <w:tcPr>
            <w:tcW w:w="2977" w:type="dxa"/>
            <w:vMerge w:val="restart"/>
            <w:tcBorders>
              <w:top w:val="nil"/>
              <w:left w:val="nil"/>
              <w:bottom w:val="nil"/>
              <w:right w:val="nil"/>
            </w:tcBorders>
            <w:vAlign w:val="center"/>
            <w:hideMark/>
          </w:tcPr>
          <w:p w14:paraId="71F2B50B" w14:textId="77777777"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r w:rsidRPr="00E77DC6">
              <w:rPr>
                <w:rFonts w:ascii="Calibri" w:eastAsia="Times New Roman" w:hAnsi="Calibri" w:cs="Calibri"/>
                <w:color w:val="000000"/>
                <w:kern w:val="0"/>
                <w:sz w:val="20"/>
                <w:szCs w:val="20"/>
                <w:lang w:eastAsia="es-MX"/>
                <w14:ligatures w14:val="none"/>
              </w:rPr>
              <w:t>Factor de Inflación de la Varianza (VIF)</w:t>
            </w:r>
          </w:p>
        </w:tc>
        <w:tc>
          <w:tcPr>
            <w:tcW w:w="2379" w:type="dxa"/>
            <w:tcBorders>
              <w:top w:val="nil"/>
              <w:left w:val="nil"/>
              <w:bottom w:val="nil"/>
              <w:right w:val="nil"/>
            </w:tcBorders>
            <w:vAlign w:val="center"/>
            <w:hideMark/>
          </w:tcPr>
          <w:p w14:paraId="07185A8A" w14:textId="77777777"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r w:rsidRPr="00E77DC6">
              <w:rPr>
                <w:rFonts w:ascii="Calibri" w:eastAsia="Times New Roman" w:hAnsi="Calibri" w:cs="Calibri"/>
                <w:color w:val="000000"/>
                <w:kern w:val="0"/>
                <w:sz w:val="20"/>
                <w:szCs w:val="20"/>
                <w:lang w:eastAsia="es-MX"/>
                <w14:ligatures w14:val="none"/>
              </w:rPr>
              <w:t>VIF promedio: 2.06</w:t>
            </w:r>
          </w:p>
        </w:tc>
        <w:tc>
          <w:tcPr>
            <w:tcW w:w="2582" w:type="dxa"/>
            <w:vMerge w:val="restart"/>
            <w:tcBorders>
              <w:top w:val="nil"/>
              <w:left w:val="nil"/>
              <w:bottom w:val="nil"/>
              <w:right w:val="nil"/>
            </w:tcBorders>
            <w:vAlign w:val="center"/>
            <w:hideMark/>
          </w:tcPr>
          <w:p w14:paraId="4C561734" w14:textId="77777777"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r w:rsidRPr="00E77DC6">
              <w:rPr>
                <w:rFonts w:ascii="Calibri" w:eastAsia="Times New Roman" w:hAnsi="Calibri" w:cs="Calibri"/>
                <w:color w:val="000000"/>
                <w:kern w:val="0"/>
                <w:sz w:val="20"/>
                <w:szCs w:val="20"/>
                <w:lang w:eastAsia="es-MX"/>
                <w14:ligatures w14:val="none"/>
              </w:rPr>
              <w:t>No hay multicolinealidad (todos los VIF &lt; 10). Modelo válido para análisis.</w:t>
            </w:r>
          </w:p>
        </w:tc>
      </w:tr>
      <w:tr w:rsidR="00FA4146" w:rsidRPr="00E77DC6" w14:paraId="2419B9E5" w14:textId="77777777" w:rsidTr="004C6B94">
        <w:trPr>
          <w:trHeight w:val="397"/>
        </w:trPr>
        <w:tc>
          <w:tcPr>
            <w:tcW w:w="1701" w:type="dxa"/>
            <w:vMerge/>
            <w:tcBorders>
              <w:top w:val="nil"/>
              <w:left w:val="nil"/>
              <w:bottom w:val="nil"/>
              <w:right w:val="nil"/>
            </w:tcBorders>
            <w:vAlign w:val="center"/>
            <w:hideMark/>
          </w:tcPr>
          <w:p w14:paraId="2C7BF91D" w14:textId="77777777" w:rsidR="00FA4146" w:rsidRPr="00E77DC6" w:rsidRDefault="00FA4146" w:rsidP="003D0615">
            <w:pPr>
              <w:spacing w:after="0" w:line="240" w:lineRule="auto"/>
              <w:rPr>
                <w:rFonts w:ascii="Calibri" w:eastAsia="Times New Roman" w:hAnsi="Calibri" w:cs="Calibri"/>
                <w:b/>
                <w:bCs/>
                <w:color w:val="000000"/>
                <w:kern w:val="0"/>
                <w:sz w:val="20"/>
                <w:szCs w:val="20"/>
                <w:lang w:eastAsia="es-MX"/>
                <w14:ligatures w14:val="none"/>
              </w:rPr>
            </w:pPr>
          </w:p>
        </w:tc>
        <w:tc>
          <w:tcPr>
            <w:tcW w:w="2977" w:type="dxa"/>
            <w:vMerge/>
            <w:tcBorders>
              <w:top w:val="nil"/>
              <w:left w:val="nil"/>
              <w:bottom w:val="nil"/>
              <w:right w:val="nil"/>
            </w:tcBorders>
            <w:vAlign w:val="center"/>
            <w:hideMark/>
          </w:tcPr>
          <w:p w14:paraId="2B108762" w14:textId="77777777"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p>
        </w:tc>
        <w:tc>
          <w:tcPr>
            <w:tcW w:w="2379" w:type="dxa"/>
            <w:tcBorders>
              <w:top w:val="nil"/>
              <w:left w:val="nil"/>
              <w:bottom w:val="nil"/>
              <w:right w:val="nil"/>
            </w:tcBorders>
            <w:vAlign w:val="center"/>
            <w:hideMark/>
          </w:tcPr>
          <w:p w14:paraId="342676C5" w14:textId="2AD0F641"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r w:rsidRPr="00E77DC6">
              <w:rPr>
                <w:rFonts w:ascii="Calibri" w:eastAsia="Times New Roman" w:hAnsi="Calibri" w:cs="Calibri"/>
                <w:color w:val="000000"/>
                <w:kern w:val="0"/>
                <w:sz w:val="20"/>
                <w:szCs w:val="20"/>
                <w:lang w:eastAsia="es-MX"/>
                <w14:ligatures w14:val="none"/>
              </w:rPr>
              <w:t>Valores individuales: 1.01 (Vacaciones) a 3.27 (PIB turístico)</w:t>
            </w:r>
          </w:p>
        </w:tc>
        <w:tc>
          <w:tcPr>
            <w:tcW w:w="2582" w:type="dxa"/>
            <w:vMerge/>
            <w:tcBorders>
              <w:top w:val="nil"/>
              <w:left w:val="nil"/>
              <w:bottom w:val="nil"/>
              <w:right w:val="nil"/>
            </w:tcBorders>
            <w:vAlign w:val="center"/>
            <w:hideMark/>
          </w:tcPr>
          <w:p w14:paraId="42A737F0" w14:textId="77777777"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p>
        </w:tc>
      </w:tr>
      <w:tr w:rsidR="00FA4146" w:rsidRPr="00E77DC6" w14:paraId="3E29BC20" w14:textId="77777777" w:rsidTr="004C6B94">
        <w:trPr>
          <w:trHeight w:val="397"/>
        </w:trPr>
        <w:tc>
          <w:tcPr>
            <w:tcW w:w="1701" w:type="dxa"/>
            <w:tcBorders>
              <w:top w:val="nil"/>
              <w:left w:val="nil"/>
              <w:bottom w:val="nil"/>
              <w:right w:val="nil"/>
            </w:tcBorders>
            <w:vAlign w:val="center"/>
            <w:hideMark/>
          </w:tcPr>
          <w:p w14:paraId="09FD5984" w14:textId="77777777" w:rsidR="00FA4146" w:rsidRPr="00E77DC6" w:rsidRDefault="00FA4146" w:rsidP="003D0615">
            <w:pPr>
              <w:spacing w:after="0" w:line="240" w:lineRule="auto"/>
              <w:jc w:val="both"/>
              <w:rPr>
                <w:rFonts w:ascii="Calibri" w:eastAsia="Times New Roman" w:hAnsi="Calibri" w:cs="Calibri"/>
                <w:b/>
                <w:bCs/>
                <w:color w:val="000000"/>
                <w:kern w:val="0"/>
                <w:sz w:val="20"/>
                <w:szCs w:val="20"/>
                <w:lang w:eastAsia="es-MX"/>
                <w14:ligatures w14:val="none"/>
              </w:rPr>
            </w:pPr>
            <w:r w:rsidRPr="00E77DC6">
              <w:rPr>
                <w:rFonts w:ascii="Calibri" w:eastAsia="Times New Roman" w:hAnsi="Calibri" w:cs="Calibri"/>
                <w:b/>
                <w:bCs/>
                <w:color w:val="000000"/>
                <w:kern w:val="0"/>
                <w:sz w:val="20"/>
                <w:szCs w:val="20"/>
                <w:lang w:eastAsia="es-MX"/>
                <w14:ligatures w14:val="none"/>
              </w:rPr>
              <w:t>Homocedasticidad</w:t>
            </w:r>
          </w:p>
        </w:tc>
        <w:tc>
          <w:tcPr>
            <w:tcW w:w="2977" w:type="dxa"/>
            <w:tcBorders>
              <w:top w:val="nil"/>
              <w:left w:val="nil"/>
              <w:bottom w:val="nil"/>
              <w:right w:val="nil"/>
            </w:tcBorders>
            <w:vAlign w:val="center"/>
            <w:hideMark/>
          </w:tcPr>
          <w:p w14:paraId="575FCFD4" w14:textId="77777777"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r w:rsidRPr="00E77DC6">
              <w:rPr>
                <w:rFonts w:ascii="Calibri" w:eastAsia="Times New Roman" w:hAnsi="Calibri" w:cs="Calibri"/>
                <w:color w:val="000000"/>
                <w:kern w:val="0"/>
                <w:sz w:val="20"/>
                <w:szCs w:val="20"/>
                <w:lang w:eastAsia="es-MX"/>
                <w14:ligatures w14:val="none"/>
              </w:rPr>
              <w:t>Errores estándar robustos</w:t>
            </w:r>
          </w:p>
        </w:tc>
        <w:tc>
          <w:tcPr>
            <w:tcW w:w="2379" w:type="dxa"/>
            <w:tcBorders>
              <w:top w:val="nil"/>
              <w:left w:val="nil"/>
              <w:bottom w:val="nil"/>
              <w:right w:val="nil"/>
            </w:tcBorders>
            <w:vAlign w:val="center"/>
            <w:hideMark/>
          </w:tcPr>
          <w:p w14:paraId="11B4DEAC" w14:textId="77777777"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r w:rsidRPr="00E77DC6">
              <w:rPr>
                <w:rFonts w:ascii="Calibri" w:eastAsia="Times New Roman" w:hAnsi="Calibri" w:cs="Calibri"/>
                <w:color w:val="000000"/>
                <w:kern w:val="0"/>
                <w:sz w:val="20"/>
                <w:szCs w:val="20"/>
                <w:lang w:eastAsia="es-MX"/>
                <w14:ligatures w14:val="none"/>
              </w:rPr>
              <w:t>Corrección aplicada en el modelo.</w:t>
            </w:r>
          </w:p>
        </w:tc>
        <w:tc>
          <w:tcPr>
            <w:tcW w:w="2582" w:type="dxa"/>
            <w:tcBorders>
              <w:top w:val="nil"/>
              <w:left w:val="nil"/>
              <w:bottom w:val="nil"/>
              <w:right w:val="nil"/>
            </w:tcBorders>
            <w:vAlign w:val="center"/>
            <w:hideMark/>
          </w:tcPr>
          <w:p w14:paraId="62CF1A1D" w14:textId="77777777"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r w:rsidRPr="00E77DC6">
              <w:rPr>
                <w:rFonts w:ascii="Calibri" w:eastAsia="Times New Roman" w:hAnsi="Calibri" w:cs="Calibri"/>
                <w:color w:val="000000"/>
                <w:kern w:val="0"/>
                <w:sz w:val="20"/>
                <w:szCs w:val="20"/>
                <w:lang w:eastAsia="es-MX"/>
                <w14:ligatures w14:val="none"/>
              </w:rPr>
              <w:t>Se corrigió la heterocedasticidad, asegurando varianza constante en los errores.</w:t>
            </w:r>
          </w:p>
        </w:tc>
      </w:tr>
      <w:tr w:rsidR="00FA4146" w:rsidRPr="00E77DC6" w14:paraId="3E835B18" w14:textId="77777777" w:rsidTr="004C6B94">
        <w:trPr>
          <w:trHeight w:val="397"/>
        </w:trPr>
        <w:tc>
          <w:tcPr>
            <w:tcW w:w="1701" w:type="dxa"/>
            <w:tcBorders>
              <w:top w:val="nil"/>
              <w:left w:val="nil"/>
              <w:bottom w:val="single" w:sz="8" w:space="0" w:color="auto"/>
              <w:right w:val="nil"/>
            </w:tcBorders>
            <w:vAlign w:val="center"/>
            <w:hideMark/>
          </w:tcPr>
          <w:p w14:paraId="6222FF8C" w14:textId="77777777" w:rsidR="00FA4146" w:rsidRPr="00E77DC6" w:rsidRDefault="00FA4146" w:rsidP="003D0615">
            <w:pPr>
              <w:spacing w:after="0" w:line="240" w:lineRule="auto"/>
              <w:jc w:val="both"/>
              <w:rPr>
                <w:rFonts w:ascii="Calibri" w:eastAsia="Times New Roman" w:hAnsi="Calibri" w:cs="Calibri"/>
                <w:b/>
                <w:bCs/>
                <w:color w:val="000000"/>
                <w:kern w:val="0"/>
                <w:sz w:val="20"/>
                <w:szCs w:val="20"/>
                <w:lang w:eastAsia="es-MX"/>
                <w14:ligatures w14:val="none"/>
              </w:rPr>
            </w:pPr>
            <w:r w:rsidRPr="00E77DC6">
              <w:rPr>
                <w:rFonts w:ascii="Calibri" w:eastAsia="Times New Roman" w:hAnsi="Calibri" w:cs="Calibri"/>
                <w:b/>
                <w:bCs/>
                <w:color w:val="000000"/>
                <w:kern w:val="0"/>
                <w:sz w:val="20"/>
                <w:szCs w:val="20"/>
                <w:lang w:eastAsia="es-MX"/>
                <w14:ligatures w14:val="none"/>
              </w:rPr>
              <w:t>Normalidad del error</w:t>
            </w:r>
          </w:p>
        </w:tc>
        <w:tc>
          <w:tcPr>
            <w:tcW w:w="2977" w:type="dxa"/>
            <w:tcBorders>
              <w:top w:val="nil"/>
              <w:left w:val="nil"/>
              <w:bottom w:val="single" w:sz="8" w:space="0" w:color="auto"/>
              <w:right w:val="nil"/>
            </w:tcBorders>
            <w:vAlign w:val="center"/>
            <w:hideMark/>
          </w:tcPr>
          <w:p w14:paraId="73B29B96" w14:textId="77777777"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r w:rsidRPr="00E77DC6">
              <w:rPr>
                <w:rFonts w:ascii="Calibri" w:eastAsia="Times New Roman" w:hAnsi="Calibri" w:cs="Calibri"/>
                <w:color w:val="000000"/>
                <w:kern w:val="0"/>
                <w:sz w:val="20"/>
                <w:szCs w:val="20"/>
                <w:lang w:eastAsia="es-MX"/>
                <w14:ligatures w14:val="none"/>
              </w:rPr>
              <w:t>Prueba de asimetría y curtosis (p-valor)</w:t>
            </w:r>
          </w:p>
        </w:tc>
        <w:tc>
          <w:tcPr>
            <w:tcW w:w="2379" w:type="dxa"/>
            <w:tcBorders>
              <w:top w:val="nil"/>
              <w:left w:val="nil"/>
              <w:bottom w:val="single" w:sz="8" w:space="0" w:color="auto"/>
              <w:right w:val="nil"/>
            </w:tcBorders>
            <w:vAlign w:val="center"/>
            <w:hideMark/>
          </w:tcPr>
          <w:p w14:paraId="2607C1C1" w14:textId="77777777"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proofErr w:type="spellStart"/>
            <w:r w:rsidRPr="00E77DC6">
              <w:rPr>
                <w:rFonts w:ascii="Calibri" w:eastAsia="Times New Roman" w:hAnsi="Calibri" w:cs="Calibri"/>
                <w:color w:val="000000"/>
                <w:kern w:val="0"/>
                <w:sz w:val="20"/>
                <w:szCs w:val="20"/>
                <w:lang w:eastAsia="es-MX"/>
                <w14:ligatures w14:val="none"/>
              </w:rPr>
              <w:t>Prob</w:t>
            </w:r>
            <w:proofErr w:type="spellEnd"/>
            <w:r w:rsidRPr="00E77DC6">
              <w:rPr>
                <w:rFonts w:ascii="Calibri" w:eastAsia="Times New Roman" w:hAnsi="Calibri" w:cs="Calibri"/>
                <w:color w:val="000000"/>
                <w:kern w:val="0"/>
                <w:sz w:val="20"/>
                <w:szCs w:val="20"/>
                <w:lang w:eastAsia="es-MX"/>
                <w14:ligatures w14:val="none"/>
              </w:rPr>
              <w:t>&gt;χ2=0.4944</w:t>
            </w:r>
          </w:p>
        </w:tc>
        <w:tc>
          <w:tcPr>
            <w:tcW w:w="2582" w:type="dxa"/>
            <w:tcBorders>
              <w:top w:val="nil"/>
              <w:left w:val="nil"/>
              <w:bottom w:val="single" w:sz="8" w:space="0" w:color="auto"/>
              <w:right w:val="nil"/>
            </w:tcBorders>
            <w:vAlign w:val="center"/>
            <w:hideMark/>
          </w:tcPr>
          <w:p w14:paraId="12A0D11F" w14:textId="77777777" w:rsidR="00FA4146" w:rsidRPr="00E77DC6" w:rsidRDefault="00FA4146" w:rsidP="003D0615">
            <w:pPr>
              <w:spacing w:after="0" w:line="240" w:lineRule="auto"/>
              <w:jc w:val="center"/>
              <w:rPr>
                <w:rFonts w:ascii="Calibri" w:eastAsia="Times New Roman" w:hAnsi="Calibri" w:cs="Calibri"/>
                <w:color w:val="000000"/>
                <w:kern w:val="0"/>
                <w:sz w:val="20"/>
                <w:szCs w:val="20"/>
                <w:lang w:eastAsia="es-MX"/>
                <w14:ligatures w14:val="none"/>
              </w:rPr>
            </w:pPr>
            <w:r w:rsidRPr="00E77DC6">
              <w:rPr>
                <w:rFonts w:ascii="Calibri" w:eastAsia="Times New Roman" w:hAnsi="Calibri" w:cs="Calibri"/>
                <w:color w:val="000000"/>
                <w:kern w:val="0"/>
                <w:sz w:val="20"/>
                <w:szCs w:val="20"/>
                <w:lang w:eastAsia="es-MX"/>
                <w14:ligatures w14:val="none"/>
              </w:rPr>
              <w:t>Se acepta H0: el error se distribuye normalmente (p&gt;0.05).</w:t>
            </w:r>
          </w:p>
        </w:tc>
      </w:tr>
    </w:tbl>
    <w:p w14:paraId="3E0A45A5" w14:textId="3C4FD31E" w:rsidR="0012190E" w:rsidRPr="0060544D" w:rsidRDefault="0012190E" w:rsidP="003D0615">
      <w:pPr>
        <w:suppressAutoHyphens/>
        <w:spacing w:line="240" w:lineRule="auto"/>
        <w:ind w:firstLine="709"/>
        <w:jc w:val="both"/>
        <w:rPr>
          <w:rFonts w:ascii="Calibri" w:eastAsiaTheme="minorEastAsia" w:hAnsi="Calibri" w:cs="Calibri"/>
          <w:color w:val="000000"/>
          <w:sz w:val="20"/>
          <w:szCs w:val="20"/>
          <w14:ligatures w14:val="none"/>
        </w:rPr>
      </w:pPr>
      <w:r w:rsidRPr="0060544D">
        <w:rPr>
          <w:rFonts w:ascii="Calibri" w:eastAsiaTheme="minorEastAsia" w:hAnsi="Calibri" w:cs="Calibri"/>
          <w:b/>
          <w:bCs/>
          <w:color w:val="000000"/>
          <w:sz w:val="20"/>
          <w:szCs w:val="20"/>
          <w14:ligatures w14:val="none"/>
        </w:rPr>
        <w:t>Fuente:</w:t>
      </w:r>
      <w:r w:rsidRPr="0060544D">
        <w:rPr>
          <w:rFonts w:ascii="Calibri" w:eastAsiaTheme="minorEastAsia" w:hAnsi="Calibri" w:cs="Calibri"/>
          <w:color w:val="000000"/>
          <w:sz w:val="20"/>
          <w:szCs w:val="20"/>
          <w14:ligatures w14:val="none"/>
        </w:rPr>
        <w:t xml:space="preserve"> Elaboración propia con base en </w:t>
      </w:r>
      <w:proofErr w:type="spellStart"/>
      <w:r w:rsidRPr="0060544D">
        <w:rPr>
          <w:rFonts w:ascii="Calibri" w:eastAsiaTheme="minorEastAsia" w:hAnsi="Calibri" w:cs="Calibri"/>
          <w:color w:val="000000"/>
          <w:sz w:val="20"/>
          <w:szCs w:val="20"/>
          <w14:ligatures w14:val="none"/>
        </w:rPr>
        <w:t>Wooldridge</w:t>
      </w:r>
      <w:proofErr w:type="spellEnd"/>
      <w:r w:rsidRPr="0060544D">
        <w:rPr>
          <w:rFonts w:ascii="Calibri" w:eastAsiaTheme="minorEastAsia" w:hAnsi="Calibri" w:cs="Calibri"/>
          <w:color w:val="000000"/>
          <w:sz w:val="20"/>
          <w:szCs w:val="20"/>
          <w14:ligatures w14:val="none"/>
        </w:rPr>
        <w:t xml:space="preserve"> (</w:t>
      </w:r>
      <w:r w:rsidRPr="0060544D">
        <w:rPr>
          <w:rFonts w:ascii="Calibri" w:eastAsiaTheme="minorEastAsia" w:hAnsi="Calibri" w:cs="Calibri"/>
          <w:color w:val="C00000"/>
          <w:sz w:val="20"/>
          <w:szCs w:val="20"/>
          <w14:ligatures w14:val="none"/>
        </w:rPr>
        <w:t>2010</w:t>
      </w:r>
      <w:r w:rsidRPr="0060544D">
        <w:rPr>
          <w:rFonts w:ascii="Calibri" w:eastAsiaTheme="minorEastAsia" w:hAnsi="Calibri" w:cs="Calibri"/>
          <w:color w:val="000000"/>
          <w:sz w:val="20"/>
          <w:szCs w:val="20"/>
          <w14:ligatures w14:val="none"/>
        </w:rPr>
        <w:t>)</w:t>
      </w:r>
    </w:p>
    <w:p w14:paraId="1179C9F8" w14:textId="4391C123" w:rsidR="0049583F" w:rsidRDefault="00194902" w:rsidP="003D0615">
      <w:pPr>
        <w:suppressAutoHyphens/>
        <w:spacing w:line="240" w:lineRule="auto"/>
        <w:ind w:firstLine="709"/>
        <w:jc w:val="both"/>
        <w:rPr>
          <w:rFonts w:ascii="Calibri" w:eastAsiaTheme="minorEastAsia" w:hAnsi="Calibri" w:cs="Calibri"/>
          <w:color w:val="000000"/>
          <w:sz w:val="24"/>
          <w:szCs w:val="24"/>
          <w14:ligatures w14:val="none"/>
        </w:rPr>
      </w:pPr>
      <w:r w:rsidRPr="00194902">
        <w:rPr>
          <w:rFonts w:ascii="Calibri" w:eastAsiaTheme="minorEastAsia" w:hAnsi="Calibri" w:cs="Calibri"/>
          <w:color w:val="000000"/>
          <w:sz w:val="24"/>
          <w:szCs w:val="24"/>
          <w14:ligatures w14:val="none"/>
        </w:rPr>
        <w:t>El modelo cumple con los supuestos de regresión lineal. No existe multicolinealidad significativa, ya que los valores VIF estuvieron entre 1.01 y 3.27. Se corrigió la posible heterocedasticidad aplicando errores estándar robustos. La prueba de normalidad de los errores arrojó un p-valor de 0.4944, lo que permite aceptar la normalidad en la distribución de los residuos. Esto asegura la validez estadística y la confiabilidad de las estimaciones del modelo</w:t>
      </w:r>
      <w:r w:rsidR="0012190E" w:rsidRPr="00194902">
        <w:rPr>
          <w:rFonts w:ascii="Calibri" w:eastAsiaTheme="minorEastAsia" w:hAnsi="Calibri" w:cs="Calibri"/>
          <w:color w:val="000000"/>
          <w:sz w:val="24"/>
          <w:szCs w:val="24"/>
          <w14:ligatures w14:val="none"/>
        </w:rPr>
        <w:t>.</w:t>
      </w:r>
    </w:p>
    <w:p w14:paraId="7AD2BB10" w14:textId="51154143" w:rsidR="0049583F" w:rsidRPr="006B6B87" w:rsidRDefault="006B6B87" w:rsidP="003D0615">
      <w:pPr>
        <w:suppressAutoHyphens/>
        <w:spacing w:line="240" w:lineRule="auto"/>
        <w:ind w:firstLine="709"/>
        <w:jc w:val="both"/>
        <w:rPr>
          <w:rFonts w:ascii="Calibri" w:eastAsiaTheme="minorEastAsia" w:hAnsi="Calibri" w:cs="Calibri"/>
          <w:b/>
          <w:bCs/>
          <w:color w:val="000000"/>
          <w:sz w:val="24"/>
          <w:szCs w:val="24"/>
          <w14:ligatures w14:val="none"/>
        </w:rPr>
      </w:pPr>
      <w:r>
        <w:rPr>
          <w:rFonts w:ascii="Calibri" w:eastAsiaTheme="minorEastAsia" w:hAnsi="Calibri" w:cs="Calibri"/>
          <w:b/>
          <w:bCs/>
          <w:color w:val="000000"/>
          <w:sz w:val="24"/>
          <w:szCs w:val="24"/>
          <w14:ligatures w14:val="none"/>
        </w:rPr>
        <w:t xml:space="preserve">3.4 </w:t>
      </w:r>
      <w:r w:rsidR="0049583F" w:rsidRPr="006B6B87">
        <w:rPr>
          <w:rFonts w:ascii="Calibri" w:eastAsiaTheme="minorEastAsia" w:hAnsi="Calibri" w:cs="Calibri"/>
          <w:b/>
          <w:bCs/>
          <w:color w:val="000000"/>
          <w:sz w:val="24"/>
          <w:szCs w:val="24"/>
          <w14:ligatures w14:val="none"/>
        </w:rPr>
        <w:t>Comparación de modelos</w:t>
      </w:r>
    </w:p>
    <w:p w14:paraId="015F51A6" w14:textId="00C58760" w:rsidR="0049583F" w:rsidRPr="00D44E2B" w:rsidRDefault="0049583F" w:rsidP="003D0615">
      <w:pPr>
        <w:suppressAutoHyphens/>
        <w:spacing w:line="240" w:lineRule="auto"/>
        <w:ind w:firstLine="709"/>
        <w:jc w:val="both"/>
        <w:rPr>
          <w:rFonts w:ascii="Calibri" w:eastAsiaTheme="minorEastAsia" w:hAnsi="Calibri" w:cs="Calibri"/>
          <w:color w:val="000000"/>
          <w:sz w:val="24"/>
          <w:szCs w:val="24"/>
          <w14:ligatures w14:val="none"/>
        </w:rPr>
      </w:pPr>
      <w:r w:rsidRPr="00D44E2B">
        <w:rPr>
          <w:rFonts w:ascii="Calibri" w:eastAsiaTheme="minorEastAsia" w:hAnsi="Calibri" w:cs="Calibri"/>
          <w:color w:val="000000"/>
          <w:sz w:val="24"/>
          <w:szCs w:val="24"/>
          <w14:ligatures w14:val="none"/>
        </w:rPr>
        <w:t xml:space="preserve">En la Tabla </w:t>
      </w:r>
      <w:r w:rsidR="006B6B87">
        <w:rPr>
          <w:rFonts w:ascii="Calibri" w:eastAsiaTheme="minorEastAsia" w:hAnsi="Calibri" w:cs="Calibri"/>
          <w:color w:val="000000"/>
          <w:sz w:val="24"/>
          <w:szCs w:val="24"/>
          <w14:ligatures w14:val="none"/>
        </w:rPr>
        <w:t>5</w:t>
      </w:r>
      <w:r w:rsidRPr="00D44E2B">
        <w:rPr>
          <w:rFonts w:ascii="Calibri" w:eastAsiaTheme="minorEastAsia" w:hAnsi="Calibri" w:cs="Calibri"/>
          <w:color w:val="000000"/>
          <w:sz w:val="24"/>
          <w:szCs w:val="24"/>
          <w14:ligatures w14:val="none"/>
        </w:rPr>
        <w:t xml:space="preserve"> se presentan los distintos modelos que se elaboraron para explicar la demanda turística </w:t>
      </w:r>
      <w:r w:rsidR="006B6B87">
        <w:rPr>
          <w:rFonts w:ascii="Calibri" w:eastAsiaTheme="minorEastAsia" w:hAnsi="Calibri" w:cs="Calibri"/>
          <w:color w:val="000000"/>
          <w:sz w:val="24"/>
          <w:szCs w:val="24"/>
          <w14:ligatures w14:val="none"/>
        </w:rPr>
        <w:t>de la RBPGDA</w:t>
      </w:r>
      <w:r w:rsidRPr="00D44E2B">
        <w:rPr>
          <w:rFonts w:ascii="Calibri" w:eastAsiaTheme="minorEastAsia" w:hAnsi="Calibri" w:cs="Calibri"/>
          <w:color w:val="000000"/>
          <w:sz w:val="24"/>
          <w:szCs w:val="24"/>
          <w14:ligatures w14:val="none"/>
        </w:rPr>
        <w:t xml:space="preserve">. </w:t>
      </w:r>
      <w:r w:rsidR="005E3BFC">
        <w:rPr>
          <w:rFonts w:ascii="Calibri" w:eastAsiaTheme="minorEastAsia" w:hAnsi="Calibri" w:cs="Calibri"/>
          <w:color w:val="000000"/>
          <w:sz w:val="24"/>
          <w:szCs w:val="24"/>
          <w14:ligatures w14:val="none"/>
        </w:rPr>
        <w:t>Se contrastan variables lineales, sus transformaciones cuadráticas y logarítmicas.</w:t>
      </w:r>
    </w:p>
    <w:p w14:paraId="081B811E" w14:textId="7174129B" w:rsidR="00372F0B" w:rsidRPr="005031C7" w:rsidRDefault="0049583F" w:rsidP="003D0615">
      <w:pPr>
        <w:suppressAutoHyphens/>
        <w:spacing w:line="240" w:lineRule="auto"/>
        <w:ind w:firstLine="709"/>
        <w:rPr>
          <w:rFonts w:ascii="Calibri" w:eastAsiaTheme="minorEastAsia" w:hAnsi="Calibri" w:cs="Calibri"/>
          <w:color w:val="000000"/>
          <w:sz w:val="24"/>
          <w:szCs w:val="24"/>
          <w14:ligatures w14:val="none"/>
        </w:rPr>
      </w:pPr>
      <w:r w:rsidRPr="00D44E2B">
        <w:rPr>
          <w:rFonts w:ascii="Calibri" w:eastAsiaTheme="minorEastAsia" w:hAnsi="Calibri" w:cs="Calibri"/>
          <w:b/>
          <w:bCs/>
          <w:color w:val="000000"/>
          <w:sz w:val="24"/>
          <w:szCs w:val="24"/>
          <w14:ligatures w14:val="none"/>
        </w:rPr>
        <w:t xml:space="preserve">Tabla </w:t>
      </w:r>
      <w:r w:rsidR="006B6B87">
        <w:rPr>
          <w:rFonts w:ascii="Calibri" w:eastAsiaTheme="minorEastAsia" w:hAnsi="Calibri" w:cs="Calibri"/>
          <w:b/>
          <w:bCs/>
          <w:color w:val="000000"/>
          <w:sz w:val="24"/>
          <w:szCs w:val="24"/>
          <w14:ligatures w14:val="none"/>
        </w:rPr>
        <w:t>5</w:t>
      </w:r>
      <w:r w:rsidR="005E1559">
        <w:rPr>
          <w:rFonts w:ascii="Calibri" w:eastAsiaTheme="minorEastAsia" w:hAnsi="Calibri" w:cs="Calibri"/>
          <w:b/>
          <w:bCs/>
          <w:color w:val="000000"/>
          <w:sz w:val="24"/>
          <w:szCs w:val="24"/>
          <w14:ligatures w14:val="none"/>
        </w:rPr>
        <w:t>.</w:t>
      </w:r>
      <w:r w:rsidR="0063691F">
        <w:rPr>
          <w:rFonts w:ascii="Calibri" w:eastAsiaTheme="minorEastAsia" w:hAnsi="Calibri" w:cs="Calibri"/>
          <w:b/>
          <w:bCs/>
          <w:color w:val="000000"/>
          <w:sz w:val="24"/>
          <w:szCs w:val="24"/>
          <w14:ligatures w14:val="none"/>
        </w:rPr>
        <w:t xml:space="preserve"> </w:t>
      </w:r>
      <w:r w:rsidR="005E1559" w:rsidRPr="006B6B87">
        <w:rPr>
          <w:rFonts w:ascii="Calibri" w:eastAsiaTheme="minorEastAsia" w:hAnsi="Calibri" w:cs="Calibri"/>
          <w:color w:val="000000"/>
          <w:sz w:val="24"/>
          <w:szCs w:val="24"/>
          <w14:ligatures w14:val="none"/>
        </w:rPr>
        <w:t>Comparación de modelos</w:t>
      </w:r>
    </w:p>
    <w:tbl>
      <w:tblPr>
        <w:tblW w:w="10065" w:type="dxa"/>
        <w:jc w:val="center"/>
        <w:tblLayout w:type="fixed"/>
        <w:tblLook w:val="0000" w:firstRow="0" w:lastRow="0" w:firstColumn="0" w:lastColumn="0" w:noHBand="0" w:noVBand="0"/>
      </w:tblPr>
      <w:tblGrid>
        <w:gridCol w:w="2694"/>
        <w:gridCol w:w="1843"/>
        <w:gridCol w:w="1559"/>
        <w:gridCol w:w="1417"/>
        <w:gridCol w:w="1276"/>
        <w:gridCol w:w="1276"/>
      </w:tblGrid>
      <w:tr w:rsidR="00372F0B" w:rsidRPr="006258D0" w14:paraId="2B8F5839" w14:textId="77777777" w:rsidTr="00DD2353">
        <w:trPr>
          <w:tblHeader/>
          <w:jc w:val="center"/>
        </w:trPr>
        <w:tc>
          <w:tcPr>
            <w:tcW w:w="2694" w:type="dxa"/>
            <w:tcBorders>
              <w:top w:val="single" w:sz="4" w:space="0" w:color="auto"/>
              <w:left w:val="nil"/>
              <w:bottom w:val="nil"/>
              <w:right w:val="nil"/>
            </w:tcBorders>
          </w:tcPr>
          <w:p w14:paraId="223516F2" w14:textId="77777777" w:rsidR="00372F0B" w:rsidRPr="006258D0" w:rsidRDefault="00372F0B" w:rsidP="003D0615">
            <w:pPr>
              <w:suppressAutoHyphens/>
              <w:spacing w:after="0" w:line="240" w:lineRule="auto"/>
              <w:ind w:firstLine="709"/>
              <w:rPr>
                <w:rFonts w:ascii="Calibri" w:eastAsiaTheme="minorEastAsia" w:hAnsi="Calibri" w:cs="Calibri"/>
                <w:color w:val="000000"/>
                <w:sz w:val="20"/>
                <w:szCs w:val="20"/>
                <w14:ligatures w14:val="none"/>
              </w:rPr>
            </w:pPr>
          </w:p>
        </w:tc>
        <w:tc>
          <w:tcPr>
            <w:tcW w:w="1843" w:type="dxa"/>
            <w:tcBorders>
              <w:top w:val="single" w:sz="4" w:space="0" w:color="auto"/>
              <w:left w:val="nil"/>
              <w:bottom w:val="nil"/>
              <w:right w:val="nil"/>
            </w:tcBorders>
          </w:tcPr>
          <w:p w14:paraId="69BDFA7C" w14:textId="229FD1FD" w:rsidR="00372F0B" w:rsidRPr="00DD2353" w:rsidRDefault="005031C7" w:rsidP="003D0615">
            <w:pPr>
              <w:suppressAutoHyphens/>
              <w:spacing w:after="0" w:line="240" w:lineRule="auto"/>
              <w:ind w:firstLine="36"/>
              <w:rPr>
                <w:rFonts w:ascii="Calibri" w:eastAsiaTheme="minorEastAsia" w:hAnsi="Calibri" w:cs="Calibri"/>
                <w:b/>
                <w:bCs/>
                <w:color w:val="000000"/>
                <w:sz w:val="20"/>
                <w:szCs w:val="20"/>
                <w:lang w:val="en-US"/>
                <w14:ligatures w14:val="none"/>
              </w:rPr>
            </w:pPr>
            <w:r w:rsidRPr="00DD2353">
              <w:rPr>
                <w:rFonts w:ascii="Calibri" w:eastAsiaTheme="minorEastAsia" w:hAnsi="Calibri" w:cs="Calibri"/>
                <w:b/>
                <w:bCs/>
                <w:color w:val="000000"/>
                <w:sz w:val="20"/>
                <w:szCs w:val="20"/>
                <w:lang w:val="en-US"/>
                <w14:ligatures w14:val="none"/>
              </w:rPr>
              <w:t>Mod 1</w:t>
            </w:r>
          </w:p>
        </w:tc>
        <w:tc>
          <w:tcPr>
            <w:tcW w:w="1559" w:type="dxa"/>
            <w:tcBorders>
              <w:top w:val="single" w:sz="4" w:space="0" w:color="auto"/>
              <w:left w:val="nil"/>
              <w:bottom w:val="nil"/>
              <w:right w:val="nil"/>
            </w:tcBorders>
          </w:tcPr>
          <w:p w14:paraId="383F4635" w14:textId="47CFA662" w:rsidR="00372F0B" w:rsidRPr="00DD2353" w:rsidRDefault="005031C7" w:rsidP="003D0615">
            <w:pPr>
              <w:suppressAutoHyphens/>
              <w:spacing w:after="0" w:line="240" w:lineRule="auto"/>
              <w:ind w:firstLine="36"/>
              <w:rPr>
                <w:rFonts w:ascii="Calibri" w:eastAsiaTheme="minorEastAsia" w:hAnsi="Calibri" w:cs="Calibri"/>
                <w:b/>
                <w:bCs/>
                <w:color w:val="000000"/>
                <w:sz w:val="20"/>
                <w:szCs w:val="20"/>
                <w:lang w:val="en-US"/>
                <w14:ligatures w14:val="none"/>
              </w:rPr>
            </w:pPr>
            <w:r w:rsidRPr="00DD2353">
              <w:rPr>
                <w:rFonts w:ascii="Calibri" w:eastAsiaTheme="minorEastAsia" w:hAnsi="Calibri" w:cs="Calibri"/>
                <w:b/>
                <w:bCs/>
                <w:color w:val="000000"/>
                <w:sz w:val="20"/>
                <w:szCs w:val="20"/>
                <w:lang w:val="en-US"/>
                <w14:ligatures w14:val="none"/>
              </w:rPr>
              <w:t>Mod 2</w:t>
            </w:r>
          </w:p>
        </w:tc>
        <w:tc>
          <w:tcPr>
            <w:tcW w:w="1417" w:type="dxa"/>
            <w:tcBorders>
              <w:top w:val="single" w:sz="4" w:space="0" w:color="auto"/>
              <w:left w:val="nil"/>
              <w:bottom w:val="nil"/>
              <w:right w:val="nil"/>
            </w:tcBorders>
          </w:tcPr>
          <w:p w14:paraId="6E752CF4" w14:textId="71CB419A" w:rsidR="00372F0B" w:rsidRPr="00DD2353" w:rsidRDefault="005031C7" w:rsidP="003D0615">
            <w:pPr>
              <w:suppressAutoHyphens/>
              <w:spacing w:after="0" w:line="240" w:lineRule="auto"/>
              <w:ind w:firstLine="36"/>
              <w:rPr>
                <w:rFonts w:ascii="Calibri" w:eastAsiaTheme="minorEastAsia" w:hAnsi="Calibri" w:cs="Calibri"/>
                <w:b/>
                <w:bCs/>
                <w:color w:val="000000"/>
                <w:sz w:val="20"/>
                <w:szCs w:val="20"/>
                <w:lang w:val="en-US"/>
                <w14:ligatures w14:val="none"/>
              </w:rPr>
            </w:pPr>
            <w:r w:rsidRPr="00DD2353">
              <w:rPr>
                <w:rFonts w:ascii="Calibri" w:eastAsiaTheme="minorEastAsia" w:hAnsi="Calibri" w:cs="Calibri"/>
                <w:b/>
                <w:bCs/>
                <w:color w:val="000000"/>
                <w:sz w:val="20"/>
                <w:szCs w:val="20"/>
                <w:lang w:val="en-US"/>
                <w14:ligatures w14:val="none"/>
              </w:rPr>
              <w:t>Mod 3</w:t>
            </w:r>
          </w:p>
        </w:tc>
        <w:tc>
          <w:tcPr>
            <w:tcW w:w="1276" w:type="dxa"/>
            <w:tcBorders>
              <w:top w:val="single" w:sz="4" w:space="0" w:color="auto"/>
              <w:left w:val="nil"/>
              <w:bottom w:val="nil"/>
              <w:right w:val="nil"/>
            </w:tcBorders>
          </w:tcPr>
          <w:p w14:paraId="204A7458" w14:textId="6AB798F4" w:rsidR="00372F0B" w:rsidRPr="00DD2353" w:rsidRDefault="005031C7" w:rsidP="003D0615">
            <w:pPr>
              <w:suppressAutoHyphens/>
              <w:spacing w:after="0" w:line="240" w:lineRule="auto"/>
              <w:ind w:firstLine="36"/>
              <w:rPr>
                <w:rFonts w:ascii="Calibri" w:eastAsiaTheme="minorEastAsia" w:hAnsi="Calibri" w:cs="Calibri"/>
                <w:b/>
                <w:bCs/>
                <w:color w:val="000000"/>
                <w:sz w:val="20"/>
                <w:szCs w:val="20"/>
                <w:lang w:val="en-US"/>
                <w14:ligatures w14:val="none"/>
              </w:rPr>
            </w:pPr>
            <w:r w:rsidRPr="00DD2353">
              <w:rPr>
                <w:rFonts w:ascii="Calibri" w:eastAsiaTheme="minorEastAsia" w:hAnsi="Calibri" w:cs="Calibri"/>
                <w:b/>
                <w:bCs/>
                <w:color w:val="000000"/>
                <w:sz w:val="20"/>
                <w:szCs w:val="20"/>
                <w:lang w:val="en-US"/>
                <w14:ligatures w14:val="none"/>
              </w:rPr>
              <w:t>Mod 4</w:t>
            </w:r>
          </w:p>
        </w:tc>
        <w:tc>
          <w:tcPr>
            <w:tcW w:w="1276" w:type="dxa"/>
            <w:tcBorders>
              <w:top w:val="single" w:sz="4" w:space="0" w:color="auto"/>
              <w:left w:val="nil"/>
              <w:bottom w:val="nil"/>
              <w:right w:val="nil"/>
            </w:tcBorders>
          </w:tcPr>
          <w:p w14:paraId="635E166E" w14:textId="5F01D63E" w:rsidR="00372F0B" w:rsidRPr="00DD2353" w:rsidRDefault="005031C7" w:rsidP="003D0615">
            <w:pPr>
              <w:suppressAutoHyphens/>
              <w:spacing w:after="0" w:line="240" w:lineRule="auto"/>
              <w:ind w:firstLine="36"/>
              <w:rPr>
                <w:rFonts w:ascii="Calibri" w:eastAsiaTheme="minorEastAsia" w:hAnsi="Calibri" w:cs="Calibri"/>
                <w:b/>
                <w:bCs/>
                <w:color w:val="000000"/>
                <w:sz w:val="20"/>
                <w:szCs w:val="20"/>
                <w:lang w:val="en-US"/>
                <w14:ligatures w14:val="none"/>
              </w:rPr>
            </w:pPr>
            <w:r w:rsidRPr="00DD2353">
              <w:rPr>
                <w:rFonts w:ascii="Calibri" w:eastAsiaTheme="minorEastAsia" w:hAnsi="Calibri" w:cs="Calibri"/>
                <w:b/>
                <w:bCs/>
                <w:color w:val="000000"/>
                <w:sz w:val="20"/>
                <w:szCs w:val="20"/>
                <w:lang w:val="en-US"/>
                <w14:ligatures w14:val="none"/>
              </w:rPr>
              <w:t>Mod 5</w:t>
            </w:r>
          </w:p>
        </w:tc>
      </w:tr>
      <w:tr w:rsidR="00372F0B" w:rsidRPr="006258D0" w14:paraId="2FAE0A8F" w14:textId="77777777" w:rsidTr="00DD2353">
        <w:trPr>
          <w:jc w:val="center"/>
        </w:trPr>
        <w:tc>
          <w:tcPr>
            <w:tcW w:w="2694" w:type="dxa"/>
            <w:tcBorders>
              <w:top w:val="single" w:sz="4" w:space="0" w:color="auto"/>
              <w:left w:val="nil"/>
              <w:bottom w:val="nil"/>
              <w:right w:val="nil"/>
            </w:tcBorders>
          </w:tcPr>
          <w:p w14:paraId="35384984" w14:textId="766242AE"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COVID</w:t>
            </w:r>
          </w:p>
        </w:tc>
        <w:tc>
          <w:tcPr>
            <w:tcW w:w="1843" w:type="dxa"/>
            <w:tcBorders>
              <w:top w:val="single" w:sz="4" w:space="0" w:color="auto"/>
              <w:left w:val="nil"/>
              <w:bottom w:val="nil"/>
              <w:right w:val="nil"/>
            </w:tcBorders>
          </w:tcPr>
          <w:p w14:paraId="4B691961"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-526.6</w:t>
            </w:r>
          </w:p>
        </w:tc>
        <w:tc>
          <w:tcPr>
            <w:tcW w:w="1559" w:type="dxa"/>
            <w:tcBorders>
              <w:top w:val="single" w:sz="4" w:space="0" w:color="auto"/>
              <w:left w:val="nil"/>
              <w:bottom w:val="nil"/>
              <w:right w:val="nil"/>
            </w:tcBorders>
          </w:tcPr>
          <w:p w14:paraId="19FF8292"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-516.6</w:t>
            </w:r>
          </w:p>
        </w:tc>
        <w:tc>
          <w:tcPr>
            <w:tcW w:w="1417" w:type="dxa"/>
            <w:tcBorders>
              <w:top w:val="single" w:sz="4" w:space="0" w:color="auto"/>
              <w:left w:val="nil"/>
              <w:bottom w:val="nil"/>
              <w:right w:val="nil"/>
            </w:tcBorders>
          </w:tcPr>
          <w:p w14:paraId="7A40D6D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-516.6</w:t>
            </w:r>
          </w:p>
        </w:tc>
        <w:tc>
          <w:tcPr>
            <w:tcW w:w="1276" w:type="dxa"/>
            <w:tcBorders>
              <w:top w:val="single" w:sz="4" w:space="0" w:color="auto"/>
              <w:left w:val="nil"/>
              <w:bottom w:val="nil"/>
              <w:right w:val="nil"/>
            </w:tcBorders>
          </w:tcPr>
          <w:p w14:paraId="247E814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-566.6</w:t>
            </w:r>
          </w:p>
        </w:tc>
        <w:tc>
          <w:tcPr>
            <w:tcW w:w="1276" w:type="dxa"/>
            <w:tcBorders>
              <w:top w:val="single" w:sz="4" w:space="0" w:color="auto"/>
              <w:left w:val="nil"/>
              <w:bottom w:val="nil"/>
              <w:right w:val="nil"/>
            </w:tcBorders>
          </w:tcPr>
          <w:p w14:paraId="2432107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-1313.3</w:t>
            </w:r>
            <w:r w:rsidRPr="006258D0">
              <w:rPr>
                <w:rFonts w:ascii="Calibri" w:eastAsiaTheme="minorEastAsia" w:hAnsi="Calibri" w:cs="Calibri"/>
                <w:color w:val="000000"/>
                <w:sz w:val="20"/>
                <w:szCs w:val="20"/>
                <w:vertAlign w:val="superscript"/>
                <w:lang w:val="en-US"/>
                <w14:ligatures w14:val="none"/>
              </w:rPr>
              <w:t>*</w:t>
            </w:r>
          </w:p>
        </w:tc>
      </w:tr>
      <w:tr w:rsidR="00372F0B" w:rsidRPr="006258D0" w14:paraId="1A8C18A9" w14:textId="77777777" w:rsidTr="00DD2353">
        <w:trPr>
          <w:jc w:val="center"/>
        </w:trPr>
        <w:tc>
          <w:tcPr>
            <w:tcW w:w="2694" w:type="dxa"/>
            <w:tcBorders>
              <w:top w:val="nil"/>
              <w:left w:val="nil"/>
              <w:bottom w:val="nil"/>
              <w:right w:val="nil"/>
            </w:tcBorders>
          </w:tcPr>
          <w:p w14:paraId="42D7D05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6C5F680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(683.0)</w:t>
            </w:r>
          </w:p>
        </w:tc>
        <w:tc>
          <w:tcPr>
            <w:tcW w:w="1559" w:type="dxa"/>
            <w:tcBorders>
              <w:top w:val="nil"/>
              <w:left w:val="nil"/>
              <w:bottom w:val="nil"/>
              <w:right w:val="nil"/>
            </w:tcBorders>
          </w:tcPr>
          <w:p w14:paraId="23269BA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(683.5)</w:t>
            </w:r>
          </w:p>
        </w:tc>
        <w:tc>
          <w:tcPr>
            <w:tcW w:w="1417" w:type="dxa"/>
            <w:tcBorders>
              <w:top w:val="nil"/>
              <w:left w:val="nil"/>
              <w:bottom w:val="nil"/>
              <w:right w:val="nil"/>
            </w:tcBorders>
          </w:tcPr>
          <w:p w14:paraId="1B2E17AF"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(349.5)</w:t>
            </w:r>
          </w:p>
        </w:tc>
        <w:tc>
          <w:tcPr>
            <w:tcW w:w="1276" w:type="dxa"/>
            <w:tcBorders>
              <w:top w:val="nil"/>
              <w:left w:val="nil"/>
              <w:bottom w:val="nil"/>
              <w:right w:val="nil"/>
            </w:tcBorders>
          </w:tcPr>
          <w:p w14:paraId="524F490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(674.1)</w:t>
            </w:r>
          </w:p>
        </w:tc>
        <w:tc>
          <w:tcPr>
            <w:tcW w:w="1276" w:type="dxa"/>
            <w:tcBorders>
              <w:top w:val="nil"/>
              <w:left w:val="nil"/>
              <w:bottom w:val="nil"/>
              <w:right w:val="nil"/>
            </w:tcBorders>
          </w:tcPr>
          <w:p w14:paraId="46B14AB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(379.3)</w:t>
            </w:r>
          </w:p>
        </w:tc>
      </w:tr>
      <w:tr w:rsidR="00372F0B" w:rsidRPr="006258D0" w14:paraId="4B149D34" w14:textId="77777777" w:rsidTr="00DD2353">
        <w:trPr>
          <w:jc w:val="center"/>
        </w:trPr>
        <w:tc>
          <w:tcPr>
            <w:tcW w:w="2694" w:type="dxa"/>
            <w:tcBorders>
              <w:top w:val="nil"/>
              <w:left w:val="nil"/>
              <w:bottom w:val="nil"/>
              <w:right w:val="nil"/>
            </w:tcBorders>
          </w:tcPr>
          <w:p w14:paraId="0B9ADE7E"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 xml:space="preserve">PIB </w:t>
            </w:r>
            <w:proofErr w:type="spellStart"/>
            <w:r w:rsidRPr="006258D0">
              <w:rPr>
                <w:rFonts w:ascii="Calibri" w:eastAsiaTheme="minorEastAsia" w:hAnsi="Calibri" w:cs="Calibri"/>
                <w:color w:val="000000"/>
                <w:sz w:val="20"/>
                <w:szCs w:val="20"/>
                <w:lang w:val="en-US"/>
                <w14:ligatures w14:val="none"/>
              </w:rPr>
              <w:t>turístico</w:t>
            </w:r>
            <w:proofErr w:type="spellEnd"/>
          </w:p>
        </w:tc>
        <w:tc>
          <w:tcPr>
            <w:tcW w:w="1843" w:type="dxa"/>
            <w:tcBorders>
              <w:top w:val="nil"/>
              <w:left w:val="nil"/>
              <w:bottom w:val="nil"/>
              <w:right w:val="nil"/>
            </w:tcBorders>
          </w:tcPr>
          <w:p w14:paraId="4F564C1C"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43.99</w:t>
            </w:r>
            <w:r w:rsidRPr="006258D0">
              <w:rPr>
                <w:rFonts w:ascii="Calibri" w:eastAsiaTheme="minorEastAsia" w:hAnsi="Calibri" w:cs="Calibri"/>
                <w:color w:val="000000"/>
                <w:sz w:val="20"/>
                <w:szCs w:val="20"/>
                <w:vertAlign w:val="superscript"/>
                <w:lang w:val="en-US"/>
                <w14:ligatures w14:val="none"/>
              </w:rPr>
              <w:t>*</w:t>
            </w:r>
          </w:p>
        </w:tc>
        <w:tc>
          <w:tcPr>
            <w:tcW w:w="1559" w:type="dxa"/>
            <w:tcBorders>
              <w:top w:val="nil"/>
              <w:left w:val="nil"/>
              <w:bottom w:val="nil"/>
              <w:right w:val="nil"/>
            </w:tcBorders>
          </w:tcPr>
          <w:p w14:paraId="3CB29AD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39.69</w:t>
            </w:r>
          </w:p>
        </w:tc>
        <w:tc>
          <w:tcPr>
            <w:tcW w:w="1417" w:type="dxa"/>
            <w:tcBorders>
              <w:top w:val="nil"/>
              <w:left w:val="nil"/>
              <w:bottom w:val="nil"/>
              <w:right w:val="nil"/>
            </w:tcBorders>
          </w:tcPr>
          <w:p w14:paraId="2AEA638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39.69</w:t>
            </w:r>
            <w:r w:rsidRPr="006258D0">
              <w:rPr>
                <w:rFonts w:ascii="Calibri" w:eastAsiaTheme="minorEastAsia" w:hAnsi="Calibri" w:cs="Calibri"/>
                <w:color w:val="000000"/>
                <w:sz w:val="20"/>
                <w:szCs w:val="20"/>
                <w:vertAlign w:val="superscript"/>
                <w:lang w:val="en-US"/>
                <w14:ligatures w14:val="none"/>
              </w:rPr>
              <w:t>*</w:t>
            </w:r>
          </w:p>
        </w:tc>
        <w:tc>
          <w:tcPr>
            <w:tcW w:w="1276" w:type="dxa"/>
            <w:tcBorders>
              <w:top w:val="nil"/>
              <w:left w:val="nil"/>
              <w:bottom w:val="nil"/>
              <w:right w:val="nil"/>
            </w:tcBorders>
          </w:tcPr>
          <w:p w14:paraId="7CF8E178"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47.95</w:t>
            </w:r>
            <w:r w:rsidRPr="006258D0">
              <w:rPr>
                <w:rFonts w:ascii="Calibri" w:eastAsiaTheme="minorEastAsia" w:hAnsi="Calibri" w:cs="Calibri"/>
                <w:color w:val="000000"/>
                <w:sz w:val="20"/>
                <w:szCs w:val="20"/>
                <w:vertAlign w:val="superscript"/>
                <w:lang w:val="en-US"/>
                <w14:ligatures w14:val="none"/>
              </w:rPr>
              <w:t>*</w:t>
            </w:r>
          </w:p>
        </w:tc>
        <w:tc>
          <w:tcPr>
            <w:tcW w:w="1276" w:type="dxa"/>
            <w:tcBorders>
              <w:top w:val="nil"/>
              <w:left w:val="nil"/>
              <w:bottom w:val="nil"/>
              <w:right w:val="nil"/>
            </w:tcBorders>
          </w:tcPr>
          <w:p w14:paraId="72EEB7F8"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34.15</w:t>
            </w:r>
            <w:r w:rsidRPr="006258D0">
              <w:rPr>
                <w:rFonts w:ascii="Calibri" w:eastAsiaTheme="minorEastAsia" w:hAnsi="Calibri" w:cs="Calibri"/>
                <w:color w:val="000000"/>
                <w:sz w:val="20"/>
                <w:szCs w:val="20"/>
                <w:vertAlign w:val="superscript"/>
                <w:lang w:val="en-US"/>
                <w14:ligatures w14:val="none"/>
              </w:rPr>
              <w:t>*</w:t>
            </w:r>
          </w:p>
        </w:tc>
      </w:tr>
      <w:tr w:rsidR="00372F0B" w:rsidRPr="006258D0" w14:paraId="115DABD7" w14:textId="77777777" w:rsidTr="00DD2353">
        <w:trPr>
          <w:jc w:val="center"/>
        </w:trPr>
        <w:tc>
          <w:tcPr>
            <w:tcW w:w="2694" w:type="dxa"/>
            <w:tcBorders>
              <w:top w:val="nil"/>
              <w:left w:val="nil"/>
              <w:bottom w:val="nil"/>
              <w:right w:val="nil"/>
            </w:tcBorders>
          </w:tcPr>
          <w:p w14:paraId="70DFB452"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5115A539"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(21.07)</w:t>
            </w:r>
          </w:p>
        </w:tc>
        <w:tc>
          <w:tcPr>
            <w:tcW w:w="1559" w:type="dxa"/>
            <w:tcBorders>
              <w:top w:val="nil"/>
              <w:left w:val="nil"/>
              <w:bottom w:val="nil"/>
              <w:right w:val="nil"/>
            </w:tcBorders>
          </w:tcPr>
          <w:p w14:paraId="46706A3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(21.28)</w:t>
            </w:r>
          </w:p>
        </w:tc>
        <w:tc>
          <w:tcPr>
            <w:tcW w:w="1417" w:type="dxa"/>
            <w:tcBorders>
              <w:top w:val="nil"/>
              <w:left w:val="nil"/>
              <w:bottom w:val="nil"/>
              <w:right w:val="nil"/>
            </w:tcBorders>
          </w:tcPr>
          <w:p w14:paraId="61A809D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(14.13)</w:t>
            </w:r>
          </w:p>
        </w:tc>
        <w:tc>
          <w:tcPr>
            <w:tcW w:w="1276" w:type="dxa"/>
            <w:tcBorders>
              <w:top w:val="nil"/>
              <w:left w:val="nil"/>
              <w:bottom w:val="nil"/>
              <w:right w:val="nil"/>
            </w:tcBorders>
          </w:tcPr>
          <w:p w14:paraId="068E3D9F"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(21.08)</w:t>
            </w:r>
          </w:p>
        </w:tc>
        <w:tc>
          <w:tcPr>
            <w:tcW w:w="1276" w:type="dxa"/>
            <w:tcBorders>
              <w:top w:val="nil"/>
              <w:left w:val="nil"/>
              <w:bottom w:val="nil"/>
              <w:right w:val="nil"/>
            </w:tcBorders>
          </w:tcPr>
          <w:p w14:paraId="19DEBF4D"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(15.09)</w:t>
            </w:r>
          </w:p>
        </w:tc>
      </w:tr>
      <w:tr w:rsidR="00372F0B" w:rsidRPr="006258D0" w14:paraId="60F63FF7" w14:textId="77777777" w:rsidTr="00DD2353">
        <w:trPr>
          <w:jc w:val="center"/>
        </w:trPr>
        <w:tc>
          <w:tcPr>
            <w:tcW w:w="2694" w:type="dxa"/>
            <w:tcBorders>
              <w:top w:val="nil"/>
              <w:left w:val="nil"/>
              <w:bottom w:val="nil"/>
              <w:right w:val="nil"/>
            </w:tcBorders>
          </w:tcPr>
          <w:p w14:paraId="519619C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Riesgo País</w:t>
            </w:r>
          </w:p>
        </w:tc>
        <w:tc>
          <w:tcPr>
            <w:tcW w:w="1843" w:type="dxa"/>
            <w:tcBorders>
              <w:top w:val="nil"/>
              <w:left w:val="nil"/>
              <w:bottom w:val="nil"/>
              <w:right w:val="nil"/>
            </w:tcBorders>
          </w:tcPr>
          <w:p w14:paraId="06684D8D"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7.422</w:t>
            </w:r>
          </w:p>
        </w:tc>
        <w:tc>
          <w:tcPr>
            <w:tcW w:w="1559" w:type="dxa"/>
            <w:tcBorders>
              <w:top w:val="nil"/>
              <w:left w:val="nil"/>
              <w:bottom w:val="nil"/>
              <w:right w:val="nil"/>
            </w:tcBorders>
          </w:tcPr>
          <w:p w14:paraId="6A73D4A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7.327</w:t>
            </w:r>
          </w:p>
        </w:tc>
        <w:tc>
          <w:tcPr>
            <w:tcW w:w="1417" w:type="dxa"/>
            <w:tcBorders>
              <w:top w:val="nil"/>
              <w:left w:val="nil"/>
              <w:bottom w:val="nil"/>
              <w:right w:val="nil"/>
            </w:tcBorders>
          </w:tcPr>
          <w:p w14:paraId="78B271A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7.327</w:t>
            </w:r>
          </w:p>
        </w:tc>
        <w:tc>
          <w:tcPr>
            <w:tcW w:w="1276" w:type="dxa"/>
            <w:tcBorders>
              <w:top w:val="nil"/>
              <w:left w:val="nil"/>
              <w:bottom w:val="nil"/>
              <w:right w:val="nil"/>
            </w:tcBorders>
          </w:tcPr>
          <w:p w14:paraId="70BFAD3F"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7.508</w:t>
            </w:r>
          </w:p>
        </w:tc>
        <w:tc>
          <w:tcPr>
            <w:tcW w:w="1276" w:type="dxa"/>
            <w:tcBorders>
              <w:top w:val="nil"/>
              <w:left w:val="nil"/>
              <w:bottom w:val="nil"/>
              <w:right w:val="nil"/>
            </w:tcBorders>
          </w:tcPr>
          <w:p w14:paraId="04663B1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-0.668</w:t>
            </w:r>
          </w:p>
        </w:tc>
      </w:tr>
      <w:tr w:rsidR="00372F0B" w:rsidRPr="006258D0" w14:paraId="4E5DEA3F" w14:textId="77777777" w:rsidTr="00DD2353">
        <w:trPr>
          <w:jc w:val="center"/>
        </w:trPr>
        <w:tc>
          <w:tcPr>
            <w:tcW w:w="2694" w:type="dxa"/>
            <w:tcBorders>
              <w:top w:val="nil"/>
              <w:left w:val="nil"/>
              <w:bottom w:val="nil"/>
              <w:right w:val="nil"/>
            </w:tcBorders>
          </w:tcPr>
          <w:p w14:paraId="6200D9A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55AB676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(5.853)</w:t>
            </w:r>
          </w:p>
        </w:tc>
        <w:tc>
          <w:tcPr>
            <w:tcW w:w="1559" w:type="dxa"/>
            <w:tcBorders>
              <w:top w:val="nil"/>
              <w:left w:val="nil"/>
              <w:bottom w:val="nil"/>
              <w:right w:val="nil"/>
            </w:tcBorders>
          </w:tcPr>
          <w:p w14:paraId="2BAA1AE1"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(5.746)</w:t>
            </w:r>
          </w:p>
        </w:tc>
        <w:tc>
          <w:tcPr>
            <w:tcW w:w="1417" w:type="dxa"/>
            <w:tcBorders>
              <w:top w:val="nil"/>
              <w:left w:val="nil"/>
              <w:bottom w:val="nil"/>
              <w:right w:val="nil"/>
            </w:tcBorders>
          </w:tcPr>
          <w:p w14:paraId="37D60261"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(6.002)</w:t>
            </w:r>
          </w:p>
        </w:tc>
        <w:tc>
          <w:tcPr>
            <w:tcW w:w="1276" w:type="dxa"/>
            <w:tcBorders>
              <w:top w:val="nil"/>
              <w:left w:val="nil"/>
              <w:bottom w:val="nil"/>
              <w:right w:val="nil"/>
            </w:tcBorders>
          </w:tcPr>
          <w:p w14:paraId="28261882"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(6.022)</w:t>
            </w:r>
          </w:p>
        </w:tc>
        <w:tc>
          <w:tcPr>
            <w:tcW w:w="1276" w:type="dxa"/>
            <w:tcBorders>
              <w:top w:val="nil"/>
              <w:left w:val="nil"/>
              <w:bottom w:val="nil"/>
              <w:right w:val="nil"/>
            </w:tcBorders>
          </w:tcPr>
          <w:p w14:paraId="588701D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(3.823)</w:t>
            </w:r>
          </w:p>
        </w:tc>
      </w:tr>
      <w:tr w:rsidR="00372F0B" w:rsidRPr="006258D0" w14:paraId="617AAE71" w14:textId="77777777" w:rsidTr="00DD2353">
        <w:trPr>
          <w:jc w:val="center"/>
        </w:trPr>
        <w:tc>
          <w:tcPr>
            <w:tcW w:w="2694" w:type="dxa"/>
            <w:tcBorders>
              <w:top w:val="nil"/>
              <w:left w:val="nil"/>
              <w:bottom w:val="nil"/>
              <w:right w:val="nil"/>
            </w:tcBorders>
          </w:tcPr>
          <w:p w14:paraId="03F050A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Patrimonio Mundial</w:t>
            </w:r>
          </w:p>
        </w:tc>
        <w:tc>
          <w:tcPr>
            <w:tcW w:w="1843" w:type="dxa"/>
            <w:tcBorders>
              <w:top w:val="nil"/>
              <w:left w:val="nil"/>
              <w:bottom w:val="nil"/>
              <w:right w:val="nil"/>
            </w:tcBorders>
          </w:tcPr>
          <w:p w14:paraId="3551C685"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308.7</w:t>
            </w:r>
          </w:p>
        </w:tc>
        <w:tc>
          <w:tcPr>
            <w:tcW w:w="1559" w:type="dxa"/>
            <w:tcBorders>
              <w:top w:val="nil"/>
              <w:left w:val="nil"/>
              <w:bottom w:val="nil"/>
              <w:right w:val="nil"/>
            </w:tcBorders>
          </w:tcPr>
          <w:p w14:paraId="1D399F3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299.2</w:t>
            </w:r>
          </w:p>
        </w:tc>
        <w:tc>
          <w:tcPr>
            <w:tcW w:w="1417" w:type="dxa"/>
            <w:tcBorders>
              <w:top w:val="nil"/>
              <w:left w:val="nil"/>
              <w:bottom w:val="nil"/>
              <w:right w:val="nil"/>
            </w:tcBorders>
          </w:tcPr>
          <w:p w14:paraId="469E55C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299.2</w:t>
            </w:r>
          </w:p>
        </w:tc>
        <w:tc>
          <w:tcPr>
            <w:tcW w:w="1276" w:type="dxa"/>
            <w:tcBorders>
              <w:top w:val="nil"/>
              <w:left w:val="nil"/>
              <w:bottom w:val="nil"/>
              <w:right w:val="nil"/>
            </w:tcBorders>
          </w:tcPr>
          <w:p w14:paraId="434D87BD"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320.8</w:t>
            </w:r>
          </w:p>
        </w:tc>
        <w:tc>
          <w:tcPr>
            <w:tcW w:w="1276" w:type="dxa"/>
            <w:tcBorders>
              <w:top w:val="nil"/>
              <w:left w:val="nil"/>
              <w:bottom w:val="nil"/>
              <w:right w:val="nil"/>
            </w:tcBorders>
          </w:tcPr>
          <w:p w14:paraId="105D2C5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88.46</w:t>
            </w:r>
          </w:p>
        </w:tc>
      </w:tr>
      <w:tr w:rsidR="00372F0B" w:rsidRPr="006258D0" w14:paraId="7CECEC0B" w14:textId="77777777" w:rsidTr="00DD2353">
        <w:trPr>
          <w:jc w:val="center"/>
        </w:trPr>
        <w:tc>
          <w:tcPr>
            <w:tcW w:w="2694" w:type="dxa"/>
            <w:tcBorders>
              <w:top w:val="nil"/>
              <w:left w:val="nil"/>
              <w:bottom w:val="nil"/>
              <w:right w:val="nil"/>
            </w:tcBorders>
          </w:tcPr>
          <w:p w14:paraId="3A82FEA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4E70A2E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(356.1)</w:t>
            </w:r>
          </w:p>
        </w:tc>
        <w:tc>
          <w:tcPr>
            <w:tcW w:w="1559" w:type="dxa"/>
            <w:tcBorders>
              <w:top w:val="nil"/>
              <w:left w:val="nil"/>
              <w:bottom w:val="nil"/>
              <w:right w:val="nil"/>
            </w:tcBorders>
          </w:tcPr>
          <w:p w14:paraId="5225C43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(350.8)</w:t>
            </w:r>
          </w:p>
        </w:tc>
        <w:tc>
          <w:tcPr>
            <w:tcW w:w="1417" w:type="dxa"/>
            <w:tcBorders>
              <w:top w:val="nil"/>
              <w:left w:val="nil"/>
              <w:bottom w:val="nil"/>
              <w:right w:val="nil"/>
            </w:tcBorders>
          </w:tcPr>
          <w:p w14:paraId="0DE5657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(420.8)</w:t>
            </w:r>
          </w:p>
        </w:tc>
        <w:tc>
          <w:tcPr>
            <w:tcW w:w="1276" w:type="dxa"/>
            <w:tcBorders>
              <w:top w:val="nil"/>
              <w:left w:val="nil"/>
              <w:bottom w:val="nil"/>
              <w:right w:val="nil"/>
            </w:tcBorders>
          </w:tcPr>
          <w:p w14:paraId="34719CBC"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(363.3)</w:t>
            </w:r>
          </w:p>
        </w:tc>
        <w:tc>
          <w:tcPr>
            <w:tcW w:w="1276" w:type="dxa"/>
            <w:tcBorders>
              <w:top w:val="nil"/>
              <w:left w:val="nil"/>
              <w:bottom w:val="nil"/>
              <w:right w:val="nil"/>
            </w:tcBorders>
          </w:tcPr>
          <w:p w14:paraId="0596955E"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(351.3)</w:t>
            </w:r>
          </w:p>
        </w:tc>
      </w:tr>
      <w:tr w:rsidR="00372F0B" w:rsidRPr="006258D0" w14:paraId="6E9D5D40" w14:textId="77777777" w:rsidTr="00DD2353">
        <w:trPr>
          <w:jc w:val="center"/>
        </w:trPr>
        <w:tc>
          <w:tcPr>
            <w:tcW w:w="2694" w:type="dxa"/>
            <w:tcBorders>
              <w:top w:val="nil"/>
              <w:left w:val="nil"/>
              <w:bottom w:val="nil"/>
              <w:right w:val="nil"/>
            </w:tcBorders>
          </w:tcPr>
          <w:p w14:paraId="28286B5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roofErr w:type="spellStart"/>
            <w:r w:rsidRPr="006258D0">
              <w:rPr>
                <w:rFonts w:ascii="Calibri" w:eastAsiaTheme="minorEastAsia" w:hAnsi="Calibri" w:cs="Calibri"/>
                <w:color w:val="000000"/>
                <w:sz w:val="20"/>
                <w:szCs w:val="20"/>
                <w:lang w:val="en-US"/>
                <w14:ligatures w14:val="none"/>
              </w:rPr>
              <w:t>Período</w:t>
            </w:r>
            <w:proofErr w:type="spellEnd"/>
            <w:r w:rsidRPr="006258D0">
              <w:rPr>
                <w:rFonts w:ascii="Calibri" w:eastAsiaTheme="minorEastAsia" w:hAnsi="Calibri" w:cs="Calibri"/>
                <w:color w:val="000000"/>
                <w:sz w:val="20"/>
                <w:szCs w:val="20"/>
                <w:lang w:val="en-US"/>
                <w14:ligatures w14:val="none"/>
              </w:rPr>
              <w:t xml:space="preserve"> </w:t>
            </w:r>
            <w:proofErr w:type="spellStart"/>
            <w:r w:rsidRPr="006258D0">
              <w:rPr>
                <w:rFonts w:ascii="Calibri" w:eastAsiaTheme="minorEastAsia" w:hAnsi="Calibri" w:cs="Calibri"/>
                <w:color w:val="000000"/>
                <w:sz w:val="20"/>
                <w:szCs w:val="20"/>
                <w:lang w:val="en-US"/>
                <w14:ligatures w14:val="none"/>
              </w:rPr>
              <w:t>vacacional</w:t>
            </w:r>
            <w:proofErr w:type="spellEnd"/>
          </w:p>
        </w:tc>
        <w:tc>
          <w:tcPr>
            <w:tcW w:w="1843" w:type="dxa"/>
            <w:tcBorders>
              <w:top w:val="nil"/>
              <w:left w:val="nil"/>
              <w:bottom w:val="nil"/>
              <w:right w:val="nil"/>
            </w:tcBorders>
          </w:tcPr>
          <w:p w14:paraId="31AAC07F"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895.3</w:t>
            </w:r>
            <w:r w:rsidRPr="006258D0">
              <w:rPr>
                <w:rFonts w:ascii="Calibri" w:eastAsiaTheme="minorEastAsia" w:hAnsi="Calibri" w:cs="Calibri"/>
                <w:color w:val="000000"/>
                <w:sz w:val="20"/>
                <w:szCs w:val="20"/>
                <w:vertAlign w:val="superscript"/>
                <w:lang w:val="en-US"/>
                <w14:ligatures w14:val="none"/>
              </w:rPr>
              <w:t>*</w:t>
            </w:r>
          </w:p>
        </w:tc>
        <w:tc>
          <w:tcPr>
            <w:tcW w:w="1559" w:type="dxa"/>
            <w:tcBorders>
              <w:top w:val="nil"/>
              <w:left w:val="nil"/>
              <w:bottom w:val="nil"/>
              <w:right w:val="nil"/>
            </w:tcBorders>
          </w:tcPr>
          <w:p w14:paraId="7EA7A472"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900.6</w:t>
            </w:r>
            <w:r w:rsidRPr="006258D0">
              <w:rPr>
                <w:rFonts w:ascii="Calibri" w:eastAsiaTheme="minorEastAsia" w:hAnsi="Calibri" w:cs="Calibri"/>
                <w:color w:val="000000"/>
                <w:sz w:val="20"/>
                <w:szCs w:val="20"/>
                <w:vertAlign w:val="superscript"/>
                <w:lang w:val="en-US"/>
                <w14:ligatures w14:val="none"/>
              </w:rPr>
              <w:t>*</w:t>
            </w:r>
          </w:p>
        </w:tc>
        <w:tc>
          <w:tcPr>
            <w:tcW w:w="1417" w:type="dxa"/>
            <w:tcBorders>
              <w:top w:val="nil"/>
              <w:left w:val="nil"/>
              <w:bottom w:val="nil"/>
              <w:right w:val="nil"/>
            </w:tcBorders>
          </w:tcPr>
          <w:p w14:paraId="005CA13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900.6</w:t>
            </w:r>
            <w:r w:rsidRPr="006258D0">
              <w:rPr>
                <w:rFonts w:ascii="Calibri" w:eastAsiaTheme="minorEastAsia" w:hAnsi="Calibri" w:cs="Calibri"/>
                <w:color w:val="000000"/>
                <w:sz w:val="20"/>
                <w:szCs w:val="20"/>
                <w:vertAlign w:val="superscript"/>
                <w:lang w:val="en-US"/>
                <w14:ligatures w14:val="none"/>
              </w:rPr>
              <w:t>*</w:t>
            </w:r>
          </w:p>
        </w:tc>
        <w:tc>
          <w:tcPr>
            <w:tcW w:w="1276" w:type="dxa"/>
            <w:tcBorders>
              <w:top w:val="nil"/>
              <w:left w:val="nil"/>
              <w:bottom w:val="nil"/>
              <w:right w:val="nil"/>
            </w:tcBorders>
          </w:tcPr>
          <w:p w14:paraId="7CA1F2A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890.1</w:t>
            </w:r>
            <w:r w:rsidRPr="006258D0">
              <w:rPr>
                <w:rFonts w:ascii="Calibri" w:eastAsiaTheme="minorEastAsia" w:hAnsi="Calibri" w:cs="Calibri"/>
                <w:color w:val="000000"/>
                <w:sz w:val="20"/>
                <w:szCs w:val="20"/>
                <w:vertAlign w:val="superscript"/>
                <w:lang w:val="en-US"/>
                <w14:ligatures w14:val="none"/>
              </w:rPr>
              <w:t>*</w:t>
            </w:r>
          </w:p>
        </w:tc>
        <w:tc>
          <w:tcPr>
            <w:tcW w:w="1276" w:type="dxa"/>
            <w:tcBorders>
              <w:top w:val="nil"/>
              <w:left w:val="nil"/>
              <w:bottom w:val="nil"/>
              <w:right w:val="nil"/>
            </w:tcBorders>
          </w:tcPr>
          <w:p w14:paraId="6BE5EC0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866.4</w:t>
            </w:r>
            <w:r w:rsidRPr="006258D0">
              <w:rPr>
                <w:rFonts w:ascii="Calibri" w:eastAsiaTheme="minorEastAsia" w:hAnsi="Calibri" w:cs="Calibri"/>
                <w:color w:val="000000"/>
                <w:sz w:val="20"/>
                <w:szCs w:val="20"/>
                <w:vertAlign w:val="superscript"/>
                <w:lang w:val="en-US"/>
                <w14:ligatures w14:val="none"/>
              </w:rPr>
              <w:t>*</w:t>
            </w:r>
          </w:p>
        </w:tc>
      </w:tr>
      <w:tr w:rsidR="00372F0B" w:rsidRPr="006258D0" w14:paraId="2C1766BA" w14:textId="77777777" w:rsidTr="00DD2353">
        <w:trPr>
          <w:jc w:val="center"/>
        </w:trPr>
        <w:tc>
          <w:tcPr>
            <w:tcW w:w="2694" w:type="dxa"/>
            <w:tcBorders>
              <w:top w:val="nil"/>
              <w:left w:val="nil"/>
              <w:bottom w:val="nil"/>
              <w:right w:val="nil"/>
            </w:tcBorders>
          </w:tcPr>
          <w:p w14:paraId="260F58D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35CEE11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(223.2)</w:t>
            </w:r>
          </w:p>
        </w:tc>
        <w:tc>
          <w:tcPr>
            <w:tcW w:w="1559" w:type="dxa"/>
            <w:tcBorders>
              <w:top w:val="nil"/>
              <w:left w:val="nil"/>
              <w:bottom w:val="nil"/>
              <w:right w:val="nil"/>
            </w:tcBorders>
          </w:tcPr>
          <w:p w14:paraId="5C9D9AF9"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(224.2)</w:t>
            </w:r>
          </w:p>
        </w:tc>
        <w:tc>
          <w:tcPr>
            <w:tcW w:w="1417" w:type="dxa"/>
            <w:tcBorders>
              <w:top w:val="nil"/>
              <w:left w:val="nil"/>
              <w:bottom w:val="nil"/>
              <w:right w:val="nil"/>
            </w:tcBorders>
          </w:tcPr>
          <w:p w14:paraId="254F331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(206.7)</w:t>
            </w:r>
          </w:p>
        </w:tc>
        <w:tc>
          <w:tcPr>
            <w:tcW w:w="1276" w:type="dxa"/>
            <w:tcBorders>
              <w:top w:val="nil"/>
              <w:left w:val="nil"/>
              <w:bottom w:val="nil"/>
              <w:right w:val="nil"/>
            </w:tcBorders>
          </w:tcPr>
          <w:p w14:paraId="6A6739F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(222.5)</w:t>
            </w:r>
          </w:p>
        </w:tc>
        <w:tc>
          <w:tcPr>
            <w:tcW w:w="1276" w:type="dxa"/>
            <w:tcBorders>
              <w:top w:val="nil"/>
              <w:left w:val="nil"/>
              <w:bottom w:val="nil"/>
              <w:right w:val="nil"/>
            </w:tcBorders>
          </w:tcPr>
          <w:p w14:paraId="15279F4F"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(205.5)</w:t>
            </w:r>
          </w:p>
        </w:tc>
      </w:tr>
      <w:tr w:rsidR="00372F0B" w:rsidRPr="006258D0" w14:paraId="0860B970" w14:textId="77777777" w:rsidTr="00DD2353">
        <w:trPr>
          <w:jc w:val="center"/>
        </w:trPr>
        <w:tc>
          <w:tcPr>
            <w:tcW w:w="2694" w:type="dxa"/>
            <w:tcBorders>
              <w:top w:val="nil"/>
              <w:left w:val="nil"/>
              <w:bottom w:val="nil"/>
              <w:right w:val="nil"/>
            </w:tcBorders>
          </w:tcPr>
          <w:p w14:paraId="18CCBCEC"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roofErr w:type="spellStart"/>
            <w:r w:rsidRPr="006258D0">
              <w:rPr>
                <w:rFonts w:ascii="Calibri" w:eastAsiaTheme="minorEastAsia" w:hAnsi="Calibri" w:cs="Calibri"/>
                <w:color w:val="000000"/>
                <w:sz w:val="20"/>
                <w:szCs w:val="20"/>
                <w:lang w:val="en-US"/>
                <w14:ligatures w14:val="none"/>
              </w:rPr>
              <w:t>Confianza</w:t>
            </w:r>
            <w:proofErr w:type="spellEnd"/>
            <w:r w:rsidRPr="006258D0">
              <w:rPr>
                <w:rFonts w:ascii="Calibri" w:eastAsiaTheme="minorEastAsia" w:hAnsi="Calibri" w:cs="Calibri"/>
                <w:color w:val="000000"/>
                <w:sz w:val="20"/>
                <w:szCs w:val="20"/>
                <w:lang w:val="en-US"/>
                <w14:ligatures w14:val="none"/>
              </w:rPr>
              <w:t xml:space="preserve"> del </w:t>
            </w:r>
            <w:proofErr w:type="spellStart"/>
            <w:r w:rsidRPr="006258D0">
              <w:rPr>
                <w:rFonts w:ascii="Calibri" w:eastAsiaTheme="minorEastAsia" w:hAnsi="Calibri" w:cs="Calibri"/>
                <w:color w:val="000000"/>
                <w:sz w:val="20"/>
                <w:szCs w:val="20"/>
                <w:lang w:val="en-US"/>
                <w14:ligatures w14:val="none"/>
              </w:rPr>
              <w:t>consumidor</w:t>
            </w:r>
            <w:proofErr w:type="spellEnd"/>
            <w:r w:rsidRPr="006258D0">
              <w:rPr>
                <w:rFonts w:ascii="Calibri" w:eastAsiaTheme="minorEastAsia" w:hAnsi="Calibri" w:cs="Calibri"/>
                <w:color w:val="000000"/>
                <w:sz w:val="20"/>
                <w:szCs w:val="20"/>
                <w:lang w:val="en-US"/>
                <w14:ligatures w14:val="none"/>
              </w:rPr>
              <w:t xml:space="preserve"> </w:t>
            </w:r>
          </w:p>
        </w:tc>
        <w:tc>
          <w:tcPr>
            <w:tcW w:w="1843" w:type="dxa"/>
            <w:tcBorders>
              <w:top w:val="nil"/>
              <w:left w:val="nil"/>
              <w:bottom w:val="nil"/>
              <w:right w:val="nil"/>
            </w:tcBorders>
          </w:tcPr>
          <w:p w14:paraId="01786AED"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-93.77</w:t>
            </w:r>
            <w:r w:rsidRPr="006258D0">
              <w:rPr>
                <w:rFonts w:ascii="Calibri" w:eastAsiaTheme="minorEastAsia" w:hAnsi="Calibri" w:cs="Calibri"/>
                <w:color w:val="000000"/>
                <w:sz w:val="20"/>
                <w:szCs w:val="20"/>
                <w:vertAlign w:val="superscript"/>
                <w:lang w:val="en-US"/>
                <w14:ligatures w14:val="none"/>
              </w:rPr>
              <w:t>*</w:t>
            </w:r>
          </w:p>
        </w:tc>
        <w:tc>
          <w:tcPr>
            <w:tcW w:w="1559" w:type="dxa"/>
            <w:tcBorders>
              <w:top w:val="nil"/>
              <w:left w:val="nil"/>
              <w:bottom w:val="nil"/>
              <w:right w:val="nil"/>
            </w:tcBorders>
          </w:tcPr>
          <w:p w14:paraId="03AABAA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-92.04</w:t>
            </w:r>
            <w:r w:rsidRPr="006258D0">
              <w:rPr>
                <w:rFonts w:ascii="Calibri" w:eastAsiaTheme="minorEastAsia" w:hAnsi="Calibri" w:cs="Calibri"/>
                <w:color w:val="000000"/>
                <w:sz w:val="20"/>
                <w:szCs w:val="20"/>
                <w:vertAlign w:val="superscript"/>
                <w:lang w:val="en-US"/>
                <w14:ligatures w14:val="none"/>
              </w:rPr>
              <w:t>*</w:t>
            </w:r>
          </w:p>
        </w:tc>
        <w:tc>
          <w:tcPr>
            <w:tcW w:w="1417" w:type="dxa"/>
            <w:tcBorders>
              <w:top w:val="nil"/>
              <w:left w:val="nil"/>
              <w:bottom w:val="nil"/>
              <w:right w:val="nil"/>
            </w:tcBorders>
          </w:tcPr>
          <w:p w14:paraId="47C64C4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-92.04</w:t>
            </w:r>
            <w:r w:rsidRPr="006258D0">
              <w:rPr>
                <w:rFonts w:ascii="Calibri" w:eastAsiaTheme="minorEastAsia" w:hAnsi="Calibri" w:cs="Calibri"/>
                <w:color w:val="000000"/>
                <w:sz w:val="20"/>
                <w:szCs w:val="20"/>
                <w:vertAlign w:val="superscript"/>
                <w:lang w:val="en-US"/>
                <w14:ligatures w14:val="none"/>
              </w:rPr>
              <w:t>*</w:t>
            </w:r>
          </w:p>
        </w:tc>
        <w:tc>
          <w:tcPr>
            <w:tcW w:w="1276" w:type="dxa"/>
            <w:tcBorders>
              <w:top w:val="nil"/>
              <w:left w:val="nil"/>
              <w:bottom w:val="nil"/>
              <w:right w:val="nil"/>
            </w:tcBorders>
          </w:tcPr>
          <w:p w14:paraId="1D689E4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-95.78</w:t>
            </w:r>
            <w:r w:rsidRPr="006258D0">
              <w:rPr>
                <w:rFonts w:ascii="Calibri" w:eastAsiaTheme="minorEastAsia" w:hAnsi="Calibri" w:cs="Calibri"/>
                <w:color w:val="000000"/>
                <w:sz w:val="20"/>
                <w:szCs w:val="20"/>
                <w:vertAlign w:val="superscript"/>
                <w:lang w:val="en-US"/>
                <w14:ligatures w14:val="none"/>
              </w:rPr>
              <w:t>*</w:t>
            </w:r>
          </w:p>
        </w:tc>
        <w:tc>
          <w:tcPr>
            <w:tcW w:w="1276" w:type="dxa"/>
            <w:tcBorders>
              <w:top w:val="nil"/>
              <w:left w:val="nil"/>
              <w:bottom w:val="nil"/>
              <w:right w:val="nil"/>
            </w:tcBorders>
          </w:tcPr>
          <w:p w14:paraId="518C247D"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-116.4</w:t>
            </w:r>
            <w:r w:rsidRPr="006258D0">
              <w:rPr>
                <w:rFonts w:ascii="Calibri" w:eastAsiaTheme="minorEastAsia" w:hAnsi="Calibri" w:cs="Calibri"/>
                <w:color w:val="000000"/>
                <w:sz w:val="20"/>
                <w:szCs w:val="20"/>
                <w:vertAlign w:val="superscript"/>
                <w:lang w:val="en-US"/>
                <w14:ligatures w14:val="none"/>
              </w:rPr>
              <w:t>*</w:t>
            </w:r>
          </w:p>
        </w:tc>
      </w:tr>
      <w:tr w:rsidR="00372F0B" w:rsidRPr="006258D0" w14:paraId="07D6E54D" w14:textId="77777777" w:rsidTr="00DD2353">
        <w:trPr>
          <w:jc w:val="center"/>
        </w:trPr>
        <w:tc>
          <w:tcPr>
            <w:tcW w:w="2694" w:type="dxa"/>
            <w:tcBorders>
              <w:top w:val="nil"/>
              <w:left w:val="nil"/>
              <w:bottom w:val="nil"/>
              <w:right w:val="nil"/>
            </w:tcBorders>
          </w:tcPr>
          <w:p w14:paraId="01B6B1FE"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58D70882"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(42.87)</w:t>
            </w:r>
          </w:p>
        </w:tc>
        <w:tc>
          <w:tcPr>
            <w:tcW w:w="1559" w:type="dxa"/>
            <w:tcBorders>
              <w:top w:val="nil"/>
              <w:left w:val="nil"/>
              <w:bottom w:val="nil"/>
              <w:right w:val="nil"/>
            </w:tcBorders>
          </w:tcPr>
          <w:p w14:paraId="4C6E35A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(43.46)</w:t>
            </w:r>
          </w:p>
        </w:tc>
        <w:tc>
          <w:tcPr>
            <w:tcW w:w="1417" w:type="dxa"/>
            <w:tcBorders>
              <w:top w:val="nil"/>
              <w:left w:val="nil"/>
              <w:bottom w:val="nil"/>
              <w:right w:val="nil"/>
            </w:tcBorders>
          </w:tcPr>
          <w:p w14:paraId="3B0D0AA8"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(42.67)</w:t>
            </w:r>
          </w:p>
        </w:tc>
        <w:tc>
          <w:tcPr>
            <w:tcW w:w="1276" w:type="dxa"/>
            <w:tcBorders>
              <w:top w:val="nil"/>
              <w:left w:val="nil"/>
              <w:bottom w:val="nil"/>
              <w:right w:val="nil"/>
            </w:tcBorders>
          </w:tcPr>
          <w:p w14:paraId="7E5E915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(41.90)</w:t>
            </w:r>
          </w:p>
        </w:tc>
        <w:tc>
          <w:tcPr>
            <w:tcW w:w="1276" w:type="dxa"/>
            <w:tcBorders>
              <w:top w:val="nil"/>
              <w:left w:val="nil"/>
              <w:bottom w:val="nil"/>
              <w:right w:val="nil"/>
            </w:tcBorders>
          </w:tcPr>
          <w:p w14:paraId="0CFAAD4C"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(40.16)</w:t>
            </w:r>
          </w:p>
        </w:tc>
      </w:tr>
      <w:tr w:rsidR="00372F0B" w:rsidRPr="006258D0" w14:paraId="191DCE2E" w14:textId="77777777" w:rsidTr="00DD2353">
        <w:trPr>
          <w:jc w:val="center"/>
        </w:trPr>
        <w:tc>
          <w:tcPr>
            <w:tcW w:w="2694" w:type="dxa"/>
            <w:tcBorders>
              <w:top w:val="nil"/>
              <w:left w:val="nil"/>
              <w:bottom w:val="nil"/>
              <w:right w:val="nil"/>
            </w:tcBorders>
          </w:tcPr>
          <w:p w14:paraId="5A276049"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roofErr w:type="spellStart"/>
            <w:r w:rsidRPr="006258D0">
              <w:rPr>
                <w:rFonts w:ascii="Calibri" w:eastAsiaTheme="minorEastAsia" w:hAnsi="Calibri" w:cs="Calibri"/>
                <w:color w:val="000000"/>
                <w:sz w:val="20"/>
                <w:szCs w:val="20"/>
                <w:lang w:val="en-US"/>
                <w14:ligatures w14:val="none"/>
              </w:rPr>
              <w:t>Ingreso</w:t>
            </w:r>
            <w:proofErr w:type="spellEnd"/>
            <w:r w:rsidRPr="006258D0">
              <w:rPr>
                <w:rFonts w:ascii="Calibri" w:eastAsiaTheme="minorEastAsia" w:hAnsi="Calibri" w:cs="Calibri"/>
                <w:color w:val="000000"/>
                <w:sz w:val="20"/>
                <w:szCs w:val="20"/>
                <w:lang w:val="en-US"/>
                <w14:ligatures w14:val="none"/>
              </w:rPr>
              <w:t xml:space="preserve"> del </w:t>
            </w:r>
            <w:proofErr w:type="spellStart"/>
            <w:r w:rsidRPr="006258D0">
              <w:rPr>
                <w:rFonts w:ascii="Calibri" w:eastAsiaTheme="minorEastAsia" w:hAnsi="Calibri" w:cs="Calibri"/>
                <w:color w:val="000000"/>
                <w:sz w:val="20"/>
                <w:szCs w:val="20"/>
                <w:lang w:val="en-US"/>
                <w14:ligatures w14:val="none"/>
              </w:rPr>
              <w:t>hogar</w:t>
            </w:r>
            <w:proofErr w:type="spellEnd"/>
          </w:p>
        </w:tc>
        <w:tc>
          <w:tcPr>
            <w:tcW w:w="1843" w:type="dxa"/>
            <w:tcBorders>
              <w:top w:val="nil"/>
              <w:left w:val="nil"/>
              <w:bottom w:val="nil"/>
              <w:right w:val="nil"/>
            </w:tcBorders>
          </w:tcPr>
          <w:p w14:paraId="33A5BBE5"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0.0680</w:t>
            </w:r>
          </w:p>
        </w:tc>
        <w:tc>
          <w:tcPr>
            <w:tcW w:w="1559" w:type="dxa"/>
            <w:tcBorders>
              <w:top w:val="nil"/>
              <w:left w:val="nil"/>
              <w:bottom w:val="nil"/>
              <w:right w:val="nil"/>
            </w:tcBorders>
          </w:tcPr>
          <w:p w14:paraId="7825FED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nil"/>
              <w:left w:val="nil"/>
              <w:bottom w:val="nil"/>
              <w:right w:val="nil"/>
            </w:tcBorders>
          </w:tcPr>
          <w:p w14:paraId="64AE0585"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0316BEEC"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1AA7240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286BDC3C" w14:textId="77777777" w:rsidTr="00DD2353">
        <w:trPr>
          <w:jc w:val="center"/>
        </w:trPr>
        <w:tc>
          <w:tcPr>
            <w:tcW w:w="2694" w:type="dxa"/>
            <w:tcBorders>
              <w:top w:val="nil"/>
              <w:left w:val="nil"/>
              <w:bottom w:val="single" w:sz="4" w:space="0" w:color="auto"/>
              <w:right w:val="nil"/>
            </w:tcBorders>
          </w:tcPr>
          <w:p w14:paraId="277B7695"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single" w:sz="4" w:space="0" w:color="auto"/>
              <w:right w:val="nil"/>
            </w:tcBorders>
          </w:tcPr>
          <w:p w14:paraId="4680EAA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(0.0749)</w:t>
            </w:r>
          </w:p>
        </w:tc>
        <w:tc>
          <w:tcPr>
            <w:tcW w:w="1559" w:type="dxa"/>
            <w:tcBorders>
              <w:top w:val="nil"/>
              <w:left w:val="nil"/>
              <w:bottom w:val="single" w:sz="4" w:space="0" w:color="auto"/>
              <w:right w:val="nil"/>
            </w:tcBorders>
          </w:tcPr>
          <w:p w14:paraId="5AB5D45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nil"/>
              <w:left w:val="nil"/>
              <w:bottom w:val="single" w:sz="4" w:space="0" w:color="auto"/>
              <w:right w:val="nil"/>
            </w:tcBorders>
          </w:tcPr>
          <w:p w14:paraId="0C9EF94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single" w:sz="4" w:space="0" w:color="auto"/>
              <w:right w:val="nil"/>
            </w:tcBorders>
          </w:tcPr>
          <w:p w14:paraId="49CCCD3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single" w:sz="4" w:space="0" w:color="auto"/>
              <w:right w:val="nil"/>
            </w:tcBorders>
          </w:tcPr>
          <w:p w14:paraId="50E97CF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603E91F6" w14:textId="77777777" w:rsidTr="00DD2353">
        <w:trPr>
          <w:jc w:val="center"/>
        </w:trPr>
        <w:tc>
          <w:tcPr>
            <w:tcW w:w="2694" w:type="dxa"/>
            <w:tcBorders>
              <w:top w:val="single" w:sz="4" w:space="0" w:color="auto"/>
              <w:left w:val="nil"/>
              <w:bottom w:val="nil"/>
              <w:right w:val="nil"/>
            </w:tcBorders>
          </w:tcPr>
          <w:p w14:paraId="4CECAEB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roofErr w:type="spellStart"/>
            <w:r w:rsidRPr="006258D0">
              <w:rPr>
                <w:rFonts w:ascii="Calibri" w:eastAsiaTheme="minorEastAsia" w:hAnsi="Calibri" w:cs="Calibri"/>
                <w:color w:val="000000"/>
                <w:sz w:val="20"/>
                <w:szCs w:val="20"/>
                <w:lang w:val="en-US"/>
                <w14:ligatures w14:val="none"/>
              </w:rPr>
              <w:lastRenderedPageBreak/>
              <w:t>Inflación</w:t>
            </w:r>
            <w:proofErr w:type="spellEnd"/>
          </w:p>
        </w:tc>
        <w:tc>
          <w:tcPr>
            <w:tcW w:w="1843" w:type="dxa"/>
            <w:tcBorders>
              <w:top w:val="single" w:sz="4" w:space="0" w:color="auto"/>
              <w:left w:val="nil"/>
              <w:bottom w:val="nil"/>
              <w:right w:val="nil"/>
            </w:tcBorders>
          </w:tcPr>
          <w:p w14:paraId="2EF819F8"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-118.0</w:t>
            </w:r>
          </w:p>
        </w:tc>
        <w:tc>
          <w:tcPr>
            <w:tcW w:w="1559" w:type="dxa"/>
            <w:tcBorders>
              <w:top w:val="single" w:sz="4" w:space="0" w:color="auto"/>
              <w:left w:val="nil"/>
              <w:bottom w:val="nil"/>
              <w:right w:val="nil"/>
            </w:tcBorders>
          </w:tcPr>
          <w:p w14:paraId="7F09175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single" w:sz="4" w:space="0" w:color="auto"/>
              <w:left w:val="nil"/>
              <w:bottom w:val="nil"/>
              <w:right w:val="nil"/>
            </w:tcBorders>
          </w:tcPr>
          <w:p w14:paraId="1AD1FD3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single" w:sz="4" w:space="0" w:color="auto"/>
              <w:left w:val="nil"/>
              <w:bottom w:val="nil"/>
              <w:right w:val="nil"/>
            </w:tcBorders>
          </w:tcPr>
          <w:p w14:paraId="04EBE3E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single" w:sz="4" w:space="0" w:color="auto"/>
              <w:left w:val="nil"/>
              <w:bottom w:val="nil"/>
              <w:right w:val="nil"/>
            </w:tcBorders>
          </w:tcPr>
          <w:p w14:paraId="6892BBE1"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-214.9</w:t>
            </w:r>
            <w:r w:rsidRPr="006258D0">
              <w:rPr>
                <w:rFonts w:ascii="Calibri" w:eastAsiaTheme="minorEastAsia" w:hAnsi="Calibri" w:cs="Calibri"/>
                <w:color w:val="000000"/>
                <w:sz w:val="20"/>
                <w:szCs w:val="20"/>
                <w:vertAlign w:val="superscript"/>
                <w:lang w:val="en-US"/>
                <w14:ligatures w14:val="none"/>
              </w:rPr>
              <w:t>*</w:t>
            </w:r>
          </w:p>
        </w:tc>
      </w:tr>
      <w:tr w:rsidR="00372F0B" w:rsidRPr="006258D0" w14:paraId="7B3985BE" w14:textId="77777777" w:rsidTr="00DD2353">
        <w:trPr>
          <w:jc w:val="center"/>
        </w:trPr>
        <w:tc>
          <w:tcPr>
            <w:tcW w:w="2694" w:type="dxa"/>
            <w:tcBorders>
              <w:top w:val="nil"/>
              <w:left w:val="nil"/>
              <w:bottom w:val="nil"/>
              <w:right w:val="nil"/>
            </w:tcBorders>
          </w:tcPr>
          <w:p w14:paraId="5B72616F"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4E10BBB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(123.4)</w:t>
            </w:r>
          </w:p>
        </w:tc>
        <w:tc>
          <w:tcPr>
            <w:tcW w:w="1559" w:type="dxa"/>
            <w:tcBorders>
              <w:top w:val="nil"/>
              <w:left w:val="nil"/>
              <w:bottom w:val="nil"/>
              <w:right w:val="nil"/>
            </w:tcBorders>
          </w:tcPr>
          <w:p w14:paraId="72FE0D88"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nil"/>
              <w:left w:val="nil"/>
              <w:bottom w:val="nil"/>
              <w:right w:val="nil"/>
            </w:tcBorders>
          </w:tcPr>
          <w:p w14:paraId="175A012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72EA506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221ADA68"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(89.03)</w:t>
            </w:r>
          </w:p>
        </w:tc>
      </w:tr>
      <w:tr w:rsidR="00372F0B" w:rsidRPr="006258D0" w14:paraId="030FBEDF" w14:textId="77777777" w:rsidTr="00DD2353">
        <w:trPr>
          <w:jc w:val="center"/>
        </w:trPr>
        <w:tc>
          <w:tcPr>
            <w:tcW w:w="2694" w:type="dxa"/>
            <w:tcBorders>
              <w:top w:val="nil"/>
              <w:left w:val="nil"/>
              <w:bottom w:val="nil"/>
              <w:right w:val="nil"/>
            </w:tcBorders>
          </w:tcPr>
          <w:p w14:paraId="68CCD28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 xml:space="preserve">Tipo de </w:t>
            </w:r>
            <w:proofErr w:type="spellStart"/>
            <w:r w:rsidRPr="006258D0">
              <w:rPr>
                <w:rFonts w:ascii="Calibri" w:eastAsiaTheme="minorEastAsia" w:hAnsi="Calibri" w:cs="Calibri"/>
                <w:color w:val="000000"/>
                <w:sz w:val="20"/>
                <w:szCs w:val="20"/>
                <w:lang w:val="en-US"/>
                <w14:ligatures w14:val="none"/>
              </w:rPr>
              <w:t>cambio</w:t>
            </w:r>
            <w:proofErr w:type="spellEnd"/>
          </w:p>
        </w:tc>
        <w:tc>
          <w:tcPr>
            <w:tcW w:w="1843" w:type="dxa"/>
            <w:tcBorders>
              <w:top w:val="nil"/>
              <w:left w:val="nil"/>
              <w:bottom w:val="nil"/>
              <w:right w:val="nil"/>
            </w:tcBorders>
          </w:tcPr>
          <w:p w14:paraId="14B5F68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-247.1</w:t>
            </w:r>
          </w:p>
        </w:tc>
        <w:tc>
          <w:tcPr>
            <w:tcW w:w="1559" w:type="dxa"/>
            <w:tcBorders>
              <w:top w:val="nil"/>
              <w:left w:val="nil"/>
              <w:bottom w:val="nil"/>
              <w:right w:val="nil"/>
            </w:tcBorders>
          </w:tcPr>
          <w:p w14:paraId="23BFD005"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nil"/>
              <w:left w:val="nil"/>
              <w:bottom w:val="nil"/>
              <w:right w:val="nil"/>
            </w:tcBorders>
          </w:tcPr>
          <w:p w14:paraId="109C190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4F78C06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667A760D"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1E9C598E" w14:textId="77777777" w:rsidTr="00DD2353">
        <w:trPr>
          <w:jc w:val="center"/>
        </w:trPr>
        <w:tc>
          <w:tcPr>
            <w:tcW w:w="2694" w:type="dxa"/>
            <w:tcBorders>
              <w:top w:val="nil"/>
              <w:left w:val="nil"/>
              <w:bottom w:val="nil"/>
              <w:right w:val="nil"/>
            </w:tcBorders>
          </w:tcPr>
          <w:p w14:paraId="0E1A24F1"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1C07E05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(138.3)</w:t>
            </w:r>
          </w:p>
        </w:tc>
        <w:tc>
          <w:tcPr>
            <w:tcW w:w="1559" w:type="dxa"/>
            <w:tcBorders>
              <w:top w:val="nil"/>
              <w:left w:val="nil"/>
              <w:bottom w:val="nil"/>
              <w:right w:val="nil"/>
            </w:tcBorders>
          </w:tcPr>
          <w:p w14:paraId="75350E5D"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nil"/>
              <w:left w:val="nil"/>
              <w:bottom w:val="nil"/>
              <w:right w:val="nil"/>
            </w:tcBorders>
          </w:tcPr>
          <w:p w14:paraId="0F74F38F"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14B06C79"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4F3E2849"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30AF0317" w14:textId="77777777" w:rsidTr="00DD2353">
        <w:trPr>
          <w:jc w:val="center"/>
        </w:trPr>
        <w:tc>
          <w:tcPr>
            <w:tcW w:w="2694" w:type="dxa"/>
            <w:tcBorders>
              <w:top w:val="nil"/>
              <w:left w:val="nil"/>
              <w:bottom w:val="nil"/>
              <w:right w:val="nil"/>
            </w:tcBorders>
          </w:tcPr>
          <w:p w14:paraId="6F2458AD"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roofErr w:type="spellStart"/>
            <w:r w:rsidRPr="006258D0">
              <w:rPr>
                <w:rFonts w:ascii="Calibri" w:eastAsiaTheme="minorEastAsia" w:hAnsi="Calibri" w:cs="Calibri"/>
                <w:color w:val="000000"/>
                <w:sz w:val="20"/>
                <w:szCs w:val="20"/>
                <w:lang w:val="en-US"/>
                <w14:ligatures w14:val="none"/>
              </w:rPr>
              <w:t>Ingreso_hogar</w:t>
            </w:r>
            <w:proofErr w:type="spellEnd"/>
            <w:r w:rsidRPr="006258D0">
              <w:rPr>
                <w:rFonts w:ascii="Calibri" w:eastAsiaTheme="minorEastAsia" w:hAnsi="Calibri" w:cs="Calibri"/>
                <w:color w:val="000000"/>
                <w:sz w:val="20"/>
                <w:szCs w:val="20"/>
                <w:lang w:val="en-US"/>
                <w14:ligatures w14:val="none"/>
              </w:rPr>
              <w:t>(</w:t>
            </w:r>
            <w:proofErr w:type="spellStart"/>
            <w:r w:rsidRPr="006258D0">
              <w:rPr>
                <w:rFonts w:ascii="Calibri" w:eastAsiaTheme="minorEastAsia" w:hAnsi="Calibri" w:cs="Calibri"/>
                <w:color w:val="000000"/>
                <w:sz w:val="20"/>
                <w:szCs w:val="20"/>
                <w:lang w:val="en-US"/>
                <w14:ligatures w14:val="none"/>
              </w:rPr>
              <w:t>cuadrático</w:t>
            </w:r>
            <w:proofErr w:type="spellEnd"/>
            <w:r w:rsidRPr="006258D0">
              <w:rPr>
                <w:rFonts w:ascii="Calibri" w:eastAsiaTheme="minorEastAsia" w:hAnsi="Calibri" w:cs="Calibri"/>
                <w:color w:val="000000"/>
                <w:sz w:val="20"/>
                <w:szCs w:val="20"/>
                <w:lang w:val="en-US"/>
                <w14:ligatures w14:val="none"/>
              </w:rPr>
              <w:t>)</w:t>
            </w:r>
          </w:p>
        </w:tc>
        <w:tc>
          <w:tcPr>
            <w:tcW w:w="1843" w:type="dxa"/>
            <w:tcBorders>
              <w:top w:val="nil"/>
              <w:left w:val="nil"/>
              <w:bottom w:val="nil"/>
              <w:right w:val="nil"/>
            </w:tcBorders>
          </w:tcPr>
          <w:p w14:paraId="606AD89C"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7E04CAEF"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0.0000006</w:t>
            </w:r>
          </w:p>
        </w:tc>
        <w:tc>
          <w:tcPr>
            <w:tcW w:w="1417" w:type="dxa"/>
            <w:tcBorders>
              <w:top w:val="nil"/>
              <w:left w:val="nil"/>
              <w:bottom w:val="nil"/>
              <w:right w:val="nil"/>
            </w:tcBorders>
          </w:tcPr>
          <w:p w14:paraId="18EA331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0.0000006</w:t>
            </w:r>
          </w:p>
        </w:tc>
        <w:tc>
          <w:tcPr>
            <w:tcW w:w="1276" w:type="dxa"/>
            <w:tcBorders>
              <w:top w:val="nil"/>
              <w:left w:val="nil"/>
              <w:bottom w:val="nil"/>
              <w:right w:val="nil"/>
            </w:tcBorders>
          </w:tcPr>
          <w:p w14:paraId="6BB74515"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70E23242"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68B150DD" w14:textId="77777777" w:rsidTr="00DD2353">
        <w:trPr>
          <w:jc w:val="center"/>
        </w:trPr>
        <w:tc>
          <w:tcPr>
            <w:tcW w:w="2694" w:type="dxa"/>
            <w:tcBorders>
              <w:top w:val="nil"/>
              <w:left w:val="nil"/>
              <w:bottom w:val="nil"/>
              <w:right w:val="nil"/>
            </w:tcBorders>
          </w:tcPr>
          <w:p w14:paraId="45165F99"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065E4D0C"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6ABE7E61"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(0.0000007)</w:t>
            </w:r>
          </w:p>
        </w:tc>
        <w:tc>
          <w:tcPr>
            <w:tcW w:w="1417" w:type="dxa"/>
            <w:tcBorders>
              <w:top w:val="nil"/>
              <w:left w:val="nil"/>
              <w:bottom w:val="nil"/>
              <w:right w:val="nil"/>
            </w:tcBorders>
          </w:tcPr>
          <w:p w14:paraId="290331D8"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(0.0000006)</w:t>
            </w:r>
          </w:p>
        </w:tc>
        <w:tc>
          <w:tcPr>
            <w:tcW w:w="1276" w:type="dxa"/>
            <w:tcBorders>
              <w:top w:val="nil"/>
              <w:left w:val="nil"/>
              <w:bottom w:val="nil"/>
              <w:right w:val="nil"/>
            </w:tcBorders>
          </w:tcPr>
          <w:p w14:paraId="7A9C06CE"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4EBDF6C9"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6604FEF9" w14:textId="77777777" w:rsidTr="00DD2353">
        <w:trPr>
          <w:jc w:val="center"/>
        </w:trPr>
        <w:tc>
          <w:tcPr>
            <w:tcW w:w="2694" w:type="dxa"/>
            <w:tcBorders>
              <w:top w:val="nil"/>
              <w:left w:val="nil"/>
              <w:bottom w:val="nil"/>
              <w:right w:val="nil"/>
            </w:tcBorders>
          </w:tcPr>
          <w:p w14:paraId="757811F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roofErr w:type="spellStart"/>
            <w:r w:rsidRPr="006258D0">
              <w:rPr>
                <w:rFonts w:ascii="Calibri" w:eastAsiaTheme="minorEastAsia" w:hAnsi="Calibri" w:cs="Calibri"/>
                <w:color w:val="000000"/>
                <w:sz w:val="20"/>
                <w:szCs w:val="20"/>
                <w:lang w:val="en-US"/>
                <w14:ligatures w14:val="none"/>
              </w:rPr>
              <w:t>Inflacion</w:t>
            </w:r>
            <w:proofErr w:type="spellEnd"/>
            <w:r w:rsidRPr="006258D0">
              <w:rPr>
                <w:rFonts w:ascii="Calibri" w:eastAsiaTheme="minorEastAsia" w:hAnsi="Calibri" w:cs="Calibri"/>
                <w:color w:val="000000"/>
                <w:sz w:val="20"/>
                <w:szCs w:val="20"/>
                <w:lang w:val="en-US"/>
                <w14:ligatures w14:val="none"/>
              </w:rPr>
              <w:t xml:space="preserve"> (</w:t>
            </w:r>
            <w:proofErr w:type="spellStart"/>
            <w:r w:rsidRPr="006258D0">
              <w:rPr>
                <w:rFonts w:ascii="Calibri" w:eastAsiaTheme="minorEastAsia" w:hAnsi="Calibri" w:cs="Calibri"/>
                <w:color w:val="000000"/>
                <w:sz w:val="20"/>
                <w:szCs w:val="20"/>
                <w:lang w:val="en-US"/>
                <w14:ligatures w14:val="none"/>
              </w:rPr>
              <w:t>cuadrática</w:t>
            </w:r>
            <w:proofErr w:type="spellEnd"/>
            <w:r w:rsidRPr="006258D0">
              <w:rPr>
                <w:rFonts w:ascii="Calibri" w:eastAsiaTheme="minorEastAsia" w:hAnsi="Calibri" w:cs="Calibri"/>
                <w:color w:val="000000"/>
                <w:sz w:val="20"/>
                <w:szCs w:val="20"/>
                <w:lang w:val="en-US"/>
                <w14:ligatures w14:val="none"/>
              </w:rPr>
              <w:t>)</w:t>
            </w:r>
          </w:p>
        </w:tc>
        <w:tc>
          <w:tcPr>
            <w:tcW w:w="1843" w:type="dxa"/>
            <w:tcBorders>
              <w:top w:val="nil"/>
              <w:left w:val="nil"/>
              <w:bottom w:val="nil"/>
              <w:right w:val="nil"/>
            </w:tcBorders>
          </w:tcPr>
          <w:p w14:paraId="1A55145C"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4CFABDC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-12.04</w:t>
            </w:r>
          </w:p>
        </w:tc>
        <w:tc>
          <w:tcPr>
            <w:tcW w:w="1417" w:type="dxa"/>
            <w:tcBorders>
              <w:top w:val="nil"/>
              <w:left w:val="nil"/>
              <w:bottom w:val="nil"/>
              <w:right w:val="nil"/>
            </w:tcBorders>
          </w:tcPr>
          <w:p w14:paraId="4A4E4EA8"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-12.04</w:t>
            </w:r>
          </w:p>
        </w:tc>
        <w:tc>
          <w:tcPr>
            <w:tcW w:w="1276" w:type="dxa"/>
            <w:tcBorders>
              <w:top w:val="nil"/>
              <w:left w:val="nil"/>
              <w:bottom w:val="nil"/>
              <w:right w:val="nil"/>
            </w:tcBorders>
          </w:tcPr>
          <w:p w14:paraId="392C700D"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78D3879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6F2F235A" w14:textId="77777777" w:rsidTr="00DD2353">
        <w:trPr>
          <w:jc w:val="center"/>
        </w:trPr>
        <w:tc>
          <w:tcPr>
            <w:tcW w:w="2694" w:type="dxa"/>
            <w:tcBorders>
              <w:top w:val="nil"/>
              <w:left w:val="nil"/>
              <w:bottom w:val="nil"/>
              <w:right w:val="nil"/>
            </w:tcBorders>
          </w:tcPr>
          <w:p w14:paraId="68B677F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3B24181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72BD056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(13.86)</w:t>
            </w:r>
          </w:p>
        </w:tc>
        <w:tc>
          <w:tcPr>
            <w:tcW w:w="1417" w:type="dxa"/>
            <w:tcBorders>
              <w:top w:val="nil"/>
              <w:left w:val="nil"/>
              <w:bottom w:val="nil"/>
              <w:right w:val="nil"/>
            </w:tcBorders>
          </w:tcPr>
          <w:p w14:paraId="5884C1C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(13.06)</w:t>
            </w:r>
          </w:p>
        </w:tc>
        <w:tc>
          <w:tcPr>
            <w:tcW w:w="1276" w:type="dxa"/>
            <w:tcBorders>
              <w:top w:val="nil"/>
              <w:left w:val="nil"/>
              <w:bottom w:val="nil"/>
              <w:right w:val="nil"/>
            </w:tcBorders>
          </w:tcPr>
          <w:p w14:paraId="780A608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4126239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34C55DB6" w14:textId="77777777" w:rsidTr="00DD2353">
        <w:trPr>
          <w:jc w:val="center"/>
        </w:trPr>
        <w:tc>
          <w:tcPr>
            <w:tcW w:w="2694" w:type="dxa"/>
            <w:tcBorders>
              <w:top w:val="nil"/>
              <w:left w:val="nil"/>
              <w:bottom w:val="nil"/>
              <w:right w:val="nil"/>
            </w:tcBorders>
          </w:tcPr>
          <w:p w14:paraId="30524C51"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 xml:space="preserve">Tipo de </w:t>
            </w:r>
            <w:proofErr w:type="spellStart"/>
            <w:r w:rsidRPr="006258D0">
              <w:rPr>
                <w:rFonts w:ascii="Calibri" w:eastAsiaTheme="minorEastAsia" w:hAnsi="Calibri" w:cs="Calibri"/>
                <w:color w:val="000000"/>
                <w:sz w:val="20"/>
                <w:szCs w:val="20"/>
                <w:lang w:val="en-US"/>
                <w14:ligatures w14:val="none"/>
              </w:rPr>
              <w:t>cambio</w:t>
            </w:r>
            <w:proofErr w:type="spellEnd"/>
            <w:r w:rsidRPr="006258D0">
              <w:rPr>
                <w:rFonts w:ascii="Calibri" w:eastAsiaTheme="minorEastAsia" w:hAnsi="Calibri" w:cs="Calibri"/>
                <w:color w:val="000000"/>
                <w:sz w:val="20"/>
                <w:szCs w:val="20"/>
                <w:lang w:val="en-US"/>
                <w14:ligatures w14:val="none"/>
              </w:rPr>
              <w:t xml:space="preserve"> (</w:t>
            </w:r>
            <w:proofErr w:type="spellStart"/>
            <w:r w:rsidRPr="006258D0">
              <w:rPr>
                <w:rFonts w:ascii="Calibri" w:eastAsiaTheme="minorEastAsia" w:hAnsi="Calibri" w:cs="Calibri"/>
                <w:color w:val="000000"/>
                <w:sz w:val="20"/>
                <w:szCs w:val="20"/>
                <w:lang w:val="en-US"/>
                <w14:ligatures w14:val="none"/>
              </w:rPr>
              <w:t>cuadrática</w:t>
            </w:r>
            <w:proofErr w:type="spellEnd"/>
            <w:r w:rsidRPr="006258D0">
              <w:rPr>
                <w:rFonts w:ascii="Calibri" w:eastAsiaTheme="minorEastAsia" w:hAnsi="Calibri" w:cs="Calibri"/>
                <w:color w:val="000000"/>
                <w:sz w:val="20"/>
                <w:szCs w:val="20"/>
                <w:lang w:val="en-US"/>
                <w14:ligatures w14:val="none"/>
              </w:rPr>
              <w:t>)</w:t>
            </w:r>
          </w:p>
        </w:tc>
        <w:tc>
          <w:tcPr>
            <w:tcW w:w="1843" w:type="dxa"/>
            <w:tcBorders>
              <w:top w:val="nil"/>
              <w:left w:val="nil"/>
              <w:bottom w:val="nil"/>
              <w:right w:val="nil"/>
            </w:tcBorders>
          </w:tcPr>
          <w:p w14:paraId="60468E4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0DCC0A6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-7.130</w:t>
            </w:r>
          </w:p>
        </w:tc>
        <w:tc>
          <w:tcPr>
            <w:tcW w:w="1417" w:type="dxa"/>
            <w:tcBorders>
              <w:top w:val="nil"/>
              <w:left w:val="nil"/>
              <w:bottom w:val="nil"/>
              <w:right w:val="nil"/>
            </w:tcBorders>
          </w:tcPr>
          <w:p w14:paraId="67B7495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-7.130</w:t>
            </w:r>
            <w:r w:rsidRPr="006258D0">
              <w:rPr>
                <w:rFonts w:ascii="Calibri" w:eastAsiaTheme="minorEastAsia" w:hAnsi="Calibri" w:cs="Calibri"/>
                <w:color w:val="000000"/>
                <w:sz w:val="20"/>
                <w:szCs w:val="20"/>
                <w:vertAlign w:val="superscript"/>
                <w:lang w:val="en-US"/>
                <w14:ligatures w14:val="none"/>
              </w:rPr>
              <w:t>*</w:t>
            </w:r>
          </w:p>
        </w:tc>
        <w:tc>
          <w:tcPr>
            <w:tcW w:w="1276" w:type="dxa"/>
            <w:tcBorders>
              <w:top w:val="nil"/>
              <w:left w:val="nil"/>
              <w:bottom w:val="nil"/>
              <w:right w:val="nil"/>
            </w:tcBorders>
          </w:tcPr>
          <w:p w14:paraId="7D854C1E"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7DC61FF8"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703A6540" w14:textId="77777777" w:rsidTr="00DD2353">
        <w:trPr>
          <w:jc w:val="center"/>
        </w:trPr>
        <w:tc>
          <w:tcPr>
            <w:tcW w:w="2694" w:type="dxa"/>
            <w:tcBorders>
              <w:top w:val="nil"/>
              <w:left w:val="nil"/>
              <w:bottom w:val="nil"/>
              <w:right w:val="nil"/>
            </w:tcBorders>
          </w:tcPr>
          <w:p w14:paraId="12A8E942"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75095028"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0154FDCE"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(3.705)</w:t>
            </w:r>
          </w:p>
        </w:tc>
        <w:tc>
          <w:tcPr>
            <w:tcW w:w="1417" w:type="dxa"/>
            <w:tcBorders>
              <w:top w:val="nil"/>
              <w:left w:val="nil"/>
              <w:bottom w:val="nil"/>
              <w:right w:val="nil"/>
            </w:tcBorders>
          </w:tcPr>
          <w:p w14:paraId="3499714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(3.113)</w:t>
            </w:r>
          </w:p>
        </w:tc>
        <w:tc>
          <w:tcPr>
            <w:tcW w:w="1276" w:type="dxa"/>
            <w:tcBorders>
              <w:top w:val="nil"/>
              <w:left w:val="nil"/>
              <w:bottom w:val="nil"/>
              <w:right w:val="nil"/>
            </w:tcBorders>
          </w:tcPr>
          <w:p w14:paraId="7D9B4F1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4A350CD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5F5B0AFD" w14:textId="77777777" w:rsidTr="00DD2353">
        <w:trPr>
          <w:jc w:val="center"/>
        </w:trPr>
        <w:tc>
          <w:tcPr>
            <w:tcW w:w="2694" w:type="dxa"/>
            <w:tcBorders>
              <w:top w:val="nil"/>
              <w:left w:val="nil"/>
              <w:bottom w:val="nil"/>
              <w:right w:val="nil"/>
            </w:tcBorders>
          </w:tcPr>
          <w:p w14:paraId="0B4B3D9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roofErr w:type="spellStart"/>
            <w:r w:rsidRPr="006258D0">
              <w:rPr>
                <w:rFonts w:ascii="Calibri" w:eastAsiaTheme="minorEastAsia" w:hAnsi="Calibri" w:cs="Calibri"/>
                <w:color w:val="000000"/>
                <w:sz w:val="20"/>
                <w:szCs w:val="20"/>
                <w:lang w:val="en-US"/>
                <w14:ligatures w14:val="none"/>
              </w:rPr>
              <w:t>Ingreso</w:t>
            </w:r>
            <w:proofErr w:type="spellEnd"/>
            <w:r w:rsidRPr="006258D0">
              <w:rPr>
                <w:rFonts w:ascii="Calibri" w:eastAsiaTheme="minorEastAsia" w:hAnsi="Calibri" w:cs="Calibri"/>
                <w:color w:val="000000"/>
                <w:sz w:val="20"/>
                <w:szCs w:val="20"/>
                <w:lang w:val="en-US"/>
                <w14:ligatures w14:val="none"/>
              </w:rPr>
              <w:t xml:space="preserve"> del </w:t>
            </w:r>
            <w:proofErr w:type="spellStart"/>
            <w:r w:rsidRPr="006258D0">
              <w:rPr>
                <w:rFonts w:ascii="Calibri" w:eastAsiaTheme="minorEastAsia" w:hAnsi="Calibri" w:cs="Calibri"/>
                <w:color w:val="000000"/>
                <w:sz w:val="20"/>
                <w:szCs w:val="20"/>
                <w:lang w:val="en-US"/>
                <w14:ligatures w14:val="none"/>
              </w:rPr>
              <w:t>hogar</w:t>
            </w:r>
            <w:proofErr w:type="spellEnd"/>
            <w:r w:rsidRPr="006258D0">
              <w:rPr>
                <w:rFonts w:ascii="Calibri" w:eastAsiaTheme="minorEastAsia" w:hAnsi="Calibri" w:cs="Calibri"/>
                <w:color w:val="000000"/>
                <w:sz w:val="20"/>
                <w:szCs w:val="20"/>
                <w:lang w:val="en-US"/>
                <w14:ligatures w14:val="none"/>
              </w:rPr>
              <w:t xml:space="preserve"> (</w:t>
            </w:r>
            <w:proofErr w:type="spellStart"/>
            <w:r w:rsidRPr="006258D0">
              <w:rPr>
                <w:rFonts w:ascii="Calibri" w:eastAsiaTheme="minorEastAsia" w:hAnsi="Calibri" w:cs="Calibri"/>
                <w:color w:val="000000"/>
                <w:sz w:val="20"/>
                <w:szCs w:val="20"/>
                <w:lang w:val="en-US"/>
                <w14:ligatures w14:val="none"/>
              </w:rPr>
              <w:t>logaritmo</w:t>
            </w:r>
            <w:proofErr w:type="spellEnd"/>
            <w:r w:rsidRPr="006258D0">
              <w:rPr>
                <w:rFonts w:ascii="Calibri" w:eastAsiaTheme="minorEastAsia" w:hAnsi="Calibri" w:cs="Calibri"/>
                <w:color w:val="000000"/>
                <w:sz w:val="20"/>
                <w:szCs w:val="20"/>
                <w:lang w:val="en-US"/>
                <w14:ligatures w14:val="none"/>
              </w:rPr>
              <w:t>)</w:t>
            </w:r>
          </w:p>
        </w:tc>
        <w:tc>
          <w:tcPr>
            <w:tcW w:w="1843" w:type="dxa"/>
            <w:tcBorders>
              <w:top w:val="nil"/>
              <w:left w:val="nil"/>
              <w:bottom w:val="nil"/>
              <w:right w:val="nil"/>
            </w:tcBorders>
          </w:tcPr>
          <w:p w14:paraId="60868EB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251DD98D"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nil"/>
              <w:left w:val="nil"/>
              <w:bottom w:val="nil"/>
              <w:right w:val="nil"/>
            </w:tcBorders>
          </w:tcPr>
          <w:p w14:paraId="052FAC4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10EFC54E"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3265.0</w:t>
            </w:r>
          </w:p>
        </w:tc>
        <w:tc>
          <w:tcPr>
            <w:tcW w:w="1276" w:type="dxa"/>
            <w:tcBorders>
              <w:top w:val="nil"/>
              <w:left w:val="nil"/>
              <w:bottom w:val="nil"/>
              <w:right w:val="nil"/>
            </w:tcBorders>
          </w:tcPr>
          <w:p w14:paraId="597101B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27618056" w14:textId="77777777" w:rsidTr="00DD2353">
        <w:trPr>
          <w:jc w:val="center"/>
        </w:trPr>
        <w:tc>
          <w:tcPr>
            <w:tcW w:w="2694" w:type="dxa"/>
            <w:tcBorders>
              <w:top w:val="nil"/>
              <w:left w:val="nil"/>
              <w:bottom w:val="nil"/>
              <w:right w:val="nil"/>
            </w:tcBorders>
          </w:tcPr>
          <w:p w14:paraId="42C17961"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135A668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0E1C8FF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nil"/>
              <w:left w:val="nil"/>
              <w:bottom w:val="nil"/>
              <w:right w:val="nil"/>
            </w:tcBorders>
          </w:tcPr>
          <w:p w14:paraId="78CC4D79"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50C50B2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(3752.7)</w:t>
            </w:r>
          </w:p>
        </w:tc>
        <w:tc>
          <w:tcPr>
            <w:tcW w:w="1276" w:type="dxa"/>
            <w:tcBorders>
              <w:top w:val="nil"/>
              <w:left w:val="nil"/>
              <w:bottom w:val="nil"/>
              <w:right w:val="nil"/>
            </w:tcBorders>
          </w:tcPr>
          <w:p w14:paraId="3248A151"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6F9FE7C1" w14:textId="77777777" w:rsidTr="00DD2353">
        <w:trPr>
          <w:jc w:val="center"/>
        </w:trPr>
        <w:tc>
          <w:tcPr>
            <w:tcW w:w="2694" w:type="dxa"/>
            <w:tcBorders>
              <w:top w:val="nil"/>
              <w:left w:val="nil"/>
              <w:bottom w:val="nil"/>
              <w:right w:val="nil"/>
            </w:tcBorders>
          </w:tcPr>
          <w:p w14:paraId="628529E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roofErr w:type="spellStart"/>
            <w:r w:rsidRPr="006258D0">
              <w:rPr>
                <w:rFonts w:ascii="Calibri" w:eastAsiaTheme="minorEastAsia" w:hAnsi="Calibri" w:cs="Calibri"/>
                <w:color w:val="000000"/>
                <w:sz w:val="20"/>
                <w:szCs w:val="20"/>
                <w:lang w:val="en-US"/>
                <w14:ligatures w14:val="none"/>
              </w:rPr>
              <w:t>Inflación</w:t>
            </w:r>
            <w:proofErr w:type="spellEnd"/>
            <w:r w:rsidRPr="006258D0">
              <w:rPr>
                <w:rFonts w:ascii="Calibri" w:eastAsiaTheme="minorEastAsia" w:hAnsi="Calibri" w:cs="Calibri"/>
                <w:color w:val="000000"/>
                <w:sz w:val="20"/>
                <w:szCs w:val="20"/>
                <w:lang w:val="en-US"/>
                <w14:ligatures w14:val="none"/>
              </w:rPr>
              <w:t xml:space="preserve"> (</w:t>
            </w:r>
            <w:proofErr w:type="spellStart"/>
            <w:r w:rsidRPr="006258D0">
              <w:rPr>
                <w:rFonts w:ascii="Calibri" w:eastAsiaTheme="minorEastAsia" w:hAnsi="Calibri" w:cs="Calibri"/>
                <w:color w:val="000000"/>
                <w:sz w:val="20"/>
                <w:szCs w:val="20"/>
                <w:lang w:val="en-US"/>
                <w14:ligatures w14:val="none"/>
              </w:rPr>
              <w:t>logaritmo</w:t>
            </w:r>
            <w:proofErr w:type="spellEnd"/>
            <w:r w:rsidRPr="006258D0">
              <w:rPr>
                <w:rFonts w:ascii="Calibri" w:eastAsiaTheme="minorEastAsia" w:hAnsi="Calibri" w:cs="Calibri"/>
                <w:color w:val="000000"/>
                <w:sz w:val="20"/>
                <w:szCs w:val="20"/>
                <w:lang w:val="en-US"/>
                <w14:ligatures w14:val="none"/>
              </w:rPr>
              <w:t>)</w:t>
            </w:r>
          </w:p>
        </w:tc>
        <w:tc>
          <w:tcPr>
            <w:tcW w:w="1843" w:type="dxa"/>
            <w:tcBorders>
              <w:top w:val="nil"/>
              <w:left w:val="nil"/>
              <w:bottom w:val="nil"/>
              <w:right w:val="nil"/>
            </w:tcBorders>
          </w:tcPr>
          <w:p w14:paraId="29A54169"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43CB1F5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nil"/>
              <w:left w:val="nil"/>
              <w:bottom w:val="nil"/>
              <w:right w:val="nil"/>
            </w:tcBorders>
          </w:tcPr>
          <w:p w14:paraId="627EA11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2EF74161"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-531.6</w:t>
            </w:r>
          </w:p>
        </w:tc>
        <w:tc>
          <w:tcPr>
            <w:tcW w:w="1276" w:type="dxa"/>
            <w:tcBorders>
              <w:top w:val="nil"/>
              <w:left w:val="nil"/>
              <w:bottom w:val="nil"/>
              <w:right w:val="nil"/>
            </w:tcBorders>
          </w:tcPr>
          <w:p w14:paraId="5E940565"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7DE76CA5" w14:textId="77777777" w:rsidTr="00DD2353">
        <w:trPr>
          <w:jc w:val="center"/>
        </w:trPr>
        <w:tc>
          <w:tcPr>
            <w:tcW w:w="2694" w:type="dxa"/>
            <w:tcBorders>
              <w:top w:val="nil"/>
              <w:left w:val="nil"/>
              <w:bottom w:val="nil"/>
              <w:right w:val="nil"/>
            </w:tcBorders>
          </w:tcPr>
          <w:p w14:paraId="648ABED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39C71A6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264C263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nil"/>
              <w:left w:val="nil"/>
              <w:bottom w:val="nil"/>
              <w:right w:val="nil"/>
            </w:tcBorders>
          </w:tcPr>
          <w:p w14:paraId="526345E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457C952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(509.0)</w:t>
            </w:r>
          </w:p>
        </w:tc>
        <w:tc>
          <w:tcPr>
            <w:tcW w:w="1276" w:type="dxa"/>
            <w:tcBorders>
              <w:top w:val="nil"/>
              <w:left w:val="nil"/>
              <w:bottom w:val="nil"/>
              <w:right w:val="nil"/>
            </w:tcBorders>
          </w:tcPr>
          <w:p w14:paraId="5773509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3199A07E" w14:textId="77777777" w:rsidTr="00DD2353">
        <w:trPr>
          <w:jc w:val="center"/>
        </w:trPr>
        <w:tc>
          <w:tcPr>
            <w:tcW w:w="2694" w:type="dxa"/>
            <w:tcBorders>
              <w:top w:val="nil"/>
              <w:left w:val="nil"/>
              <w:bottom w:val="nil"/>
              <w:right w:val="nil"/>
            </w:tcBorders>
          </w:tcPr>
          <w:p w14:paraId="323FF432"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 xml:space="preserve">Tipo de </w:t>
            </w:r>
            <w:proofErr w:type="spellStart"/>
            <w:r w:rsidRPr="006258D0">
              <w:rPr>
                <w:rFonts w:ascii="Calibri" w:eastAsiaTheme="minorEastAsia" w:hAnsi="Calibri" w:cs="Calibri"/>
                <w:color w:val="000000"/>
                <w:sz w:val="20"/>
                <w:szCs w:val="20"/>
                <w:lang w:val="en-US"/>
                <w14:ligatures w14:val="none"/>
              </w:rPr>
              <w:t>cambio</w:t>
            </w:r>
            <w:proofErr w:type="spellEnd"/>
            <w:r w:rsidRPr="006258D0">
              <w:rPr>
                <w:rFonts w:ascii="Calibri" w:eastAsiaTheme="minorEastAsia" w:hAnsi="Calibri" w:cs="Calibri"/>
                <w:color w:val="000000"/>
                <w:sz w:val="20"/>
                <w:szCs w:val="20"/>
                <w:lang w:val="en-US"/>
                <w14:ligatures w14:val="none"/>
              </w:rPr>
              <w:t xml:space="preserve"> (</w:t>
            </w:r>
            <w:proofErr w:type="spellStart"/>
            <w:r w:rsidRPr="006258D0">
              <w:rPr>
                <w:rFonts w:ascii="Calibri" w:eastAsiaTheme="minorEastAsia" w:hAnsi="Calibri" w:cs="Calibri"/>
                <w:color w:val="000000"/>
                <w:sz w:val="20"/>
                <w:szCs w:val="20"/>
                <w:lang w:val="en-US"/>
                <w14:ligatures w14:val="none"/>
              </w:rPr>
              <w:t>logarítmo</w:t>
            </w:r>
            <w:proofErr w:type="spellEnd"/>
            <w:r w:rsidRPr="006258D0">
              <w:rPr>
                <w:rFonts w:ascii="Calibri" w:eastAsiaTheme="minorEastAsia" w:hAnsi="Calibri" w:cs="Calibri"/>
                <w:color w:val="000000"/>
                <w:sz w:val="20"/>
                <w:szCs w:val="20"/>
                <w:lang w:val="en-US"/>
                <w14:ligatures w14:val="none"/>
              </w:rPr>
              <w:t>)</w:t>
            </w:r>
          </w:p>
        </w:tc>
        <w:tc>
          <w:tcPr>
            <w:tcW w:w="1843" w:type="dxa"/>
            <w:tcBorders>
              <w:top w:val="nil"/>
              <w:left w:val="nil"/>
              <w:bottom w:val="nil"/>
              <w:right w:val="nil"/>
            </w:tcBorders>
          </w:tcPr>
          <w:p w14:paraId="5A87FE8D"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2E3D3FA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nil"/>
              <w:left w:val="nil"/>
              <w:bottom w:val="nil"/>
              <w:right w:val="nil"/>
            </w:tcBorders>
          </w:tcPr>
          <w:p w14:paraId="7EBF36F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08AB968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-4031.6</w:t>
            </w:r>
          </w:p>
        </w:tc>
        <w:tc>
          <w:tcPr>
            <w:tcW w:w="1276" w:type="dxa"/>
            <w:tcBorders>
              <w:top w:val="nil"/>
              <w:left w:val="nil"/>
              <w:bottom w:val="nil"/>
              <w:right w:val="nil"/>
            </w:tcBorders>
          </w:tcPr>
          <w:p w14:paraId="39BA0D36"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4F80843C" w14:textId="77777777" w:rsidTr="00DD2353">
        <w:trPr>
          <w:jc w:val="center"/>
        </w:trPr>
        <w:tc>
          <w:tcPr>
            <w:tcW w:w="2694" w:type="dxa"/>
            <w:tcBorders>
              <w:top w:val="nil"/>
              <w:left w:val="nil"/>
              <w:bottom w:val="nil"/>
              <w:right w:val="nil"/>
            </w:tcBorders>
          </w:tcPr>
          <w:p w14:paraId="6DAECD6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nil"/>
              <w:right w:val="nil"/>
            </w:tcBorders>
          </w:tcPr>
          <w:p w14:paraId="6609C04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559" w:type="dxa"/>
            <w:tcBorders>
              <w:top w:val="nil"/>
              <w:left w:val="nil"/>
              <w:bottom w:val="nil"/>
              <w:right w:val="nil"/>
            </w:tcBorders>
          </w:tcPr>
          <w:p w14:paraId="1F224CE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417" w:type="dxa"/>
            <w:tcBorders>
              <w:top w:val="nil"/>
              <w:left w:val="nil"/>
              <w:bottom w:val="nil"/>
              <w:right w:val="nil"/>
            </w:tcBorders>
          </w:tcPr>
          <w:p w14:paraId="01EDA725"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276" w:type="dxa"/>
            <w:tcBorders>
              <w:top w:val="nil"/>
              <w:left w:val="nil"/>
              <w:bottom w:val="nil"/>
              <w:right w:val="nil"/>
            </w:tcBorders>
          </w:tcPr>
          <w:p w14:paraId="1531ECC4"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(2468.4)</w:t>
            </w:r>
          </w:p>
        </w:tc>
        <w:tc>
          <w:tcPr>
            <w:tcW w:w="1276" w:type="dxa"/>
            <w:tcBorders>
              <w:top w:val="nil"/>
              <w:left w:val="nil"/>
              <w:bottom w:val="nil"/>
              <w:right w:val="nil"/>
            </w:tcBorders>
          </w:tcPr>
          <w:p w14:paraId="3754E922"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r>
      <w:tr w:rsidR="00372F0B" w:rsidRPr="006258D0" w14:paraId="562AEA4C" w14:textId="77777777" w:rsidTr="00DD2353">
        <w:trPr>
          <w:jc w:val="center"/>
        </w:trPr>
        <w:tc>
          <w:tcPr>
            <w:tcW w:w="2694" w:type="dxa"/>
            <w:tcBorders>
              <w:top w:val="nil"/>
              <w:left w:val="nil"/>
              <w:bottom w:val="nil"/>
              <w:right w:val="nil"/>
            </w:tcBorders>
          </w:tcPr>
          <w:p w14:paraId="105DC532"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Constant</w:t>
            </w:r>
          </w:p>
        </w:tc>
        <w:tc>
          <w:tcPr>
            <w:tcW w:w="1843" w:type="dxa"/>
            <w:tcBorders>
              <w:top w:val="nil"/>
              <w:left w:val="nil"/>
              <w:bottom w:val="nil"/>
              <w:right w:val="nil"/>
            </w:tcBorders>
          </w:tcPr>
          <w:p w14:paraId="7862C901"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1448.4</w:t>
            </w:r>
          </w:p>
        </w:tc>
        <w:tc>
          <w:tcPr>
            <w:tcW w:w="1559" w:type="dxa"/>
            <w:tcBorders>
              <w:top w:val="nil"/>
              <w:left w:val="nil"/>
              <w:bottom w:val="nil"/>
              <w:right w:val="nil"/>
            </w:tcBorders>
          </w:tcPr>
          <w:p w14:paraId="00C6344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572.1</w:t>
            </w:r>
          </w:p>
        </w:tc>
        <w:tc>
          <w:tcPr>
            <w:tcW w:w="1417" w:type="dxa"/>
            <w:tcBorders>
              <w:top w:val="nil"/>
              <w:left w:val="nil"/>
              <w:bottom w:val="nil"/>
              <w:right w:val="nil"/>
            </w:tcBorders>
          </w:tcPr>
          <w:p w14:paraId="4ECF9C6C"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572.1</w:t>
            </w:r>
          </w:p>
        </w:tc>
        <w:tc>
          <w:tcPr>
            <w:tcW w:w="1276" w:type="dxa"/>
            <w:tcBorders>
              <w:top w:val="nil"/>
              <w:left w:val="nil"/>
              <w:bottom w:val="nil"/>
              <w:right w:val="nil"/>
            </w:tcBorders>
          </w:tcPr>
          <w:p w14:paraId="0DB0A9EA"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-18972.4</w:t>
            </w:r>
          </w:p>
        </w:tc>
        <w:tc>
          <w:tcPr>
            <w:tcW w:w="1276" w:type="dxa"/>
            <w:tcBorders>
              <w:top w:val="nil"/>
              <w:left w:val="nil"/>
              <w:bottom w:val="nil"/>
              <w:right w:val="nil"/>
            </w:tcBorders>
          </w:tcPr>
          <w:p w14:paraId="4D732A4F"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3548.3</w:t>
            </w:r>
          </w:p>
        </w:tc>
      </w:tr>
      <w:tr w:rsidR="00372F0B" w:rsidRPr="006258D0" w14:paraId="5130BB68" w14:textId="77777777" w:rsidTr="00DD2353">
        <w:trPr>
          <w:jc w:val="center"/>
        </w:trPr>
        <w:tc>
          <w:tcPr>
            <w:tcW w:w="2694" w:type="dxa"/>
            <w:tcBorders>
              <w:top w:val="nil"/>
              <w:left w:val="nil"/>
              <w:bottom w:val="single" w:sz="4" w:space="0" w:color="auto"/>
              <w:right w:val="nil"/>
            </w:tcBorders>
          </w:tcPr>
          <w:p w14:paraId="476B3808"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p>
        </w:tc>
        <w:tc>
          <w:tcPr>
            <w:tcW w:w="1843" w:type="dxa"/>
            <w:tcBorders>
              <w:top w:val="nil"/>
              <w:left w:val="nil"/>
              <w:bottom w:val="single" w:sz="4" w:space="0" w:color="auto"/>
              <w:right w:val="nil"/>
            </w:tcBorders>
          </w:tcPr>
          <w:p w14:paraId="77515D40"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(2802.0)</w:t>
            </w:r>
          </w:p>
        </w:tc>
        <w:tc>
          <w:tcPr>
            <w:tcW w:w="1559" w:type="dxa"/>
            <w:tcBorders>
              <w:top w:val="nil"/>
              <w:left w:val="nil"/>
              <w:bottom w:val="single" w:sz="4" w:space="0" w:color="auto"/>
              <w:right w:val="nil"/>
            </w:tcBorders>
          </w:tcPr>
          <w:p w14:paraId="077351FF"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(2241.2)</w:t>
            </w:r>
          </w:p>
        </w:tc>
        <w:tc>
          <w:tcPr>
            <w:tcW w:w="1417" w:type="dxa"/>
            <w:tcBorders>
              <w:top w:val="nil"/>
              <w:left w:val="nil"/>
              <w:bottom w:val="single" w:sz="4" w:space="0" w:color="auto"/>
              <w:right w:val="nil"/>
            </w:tcBorders>
          </w:tcPr>
          <w:p w14:paraId="6E1D4CE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(1837.0)</w:t>
            </w:r>
          </w:p>
        </w:tc>
        <w:tc>
          <w:tcPr>
            <w:tcW w:w="1276" w:type="dxa"/>
            <w:tcBorders>
              <w:top w:val="nil"/>
              <w:left w:val="nil"/>
              <w:bottom w:val="single" w:sz="4" w:space="0" w:color="auto"/>
              <w:right w:val="nil"/>
            </w:tcBorders>
          </w:tcPr>
          <w:p w14:paraId="751CD6C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(27204.1)</w:t>
            </w:r>
          </w:p>
        </w:tc>
        <w:tc>
          <w:tcPr>
            <w:tcW w:w="1276" w:type="dxa"/>
            <w:tcBorders>
              <w:top w:val="nil"/>
              <w:left w:val="nil"/>
              <w:bottom w:val="single" w:sz="4" w:space="0" w:color="auto"/>
              <w:right w:val="nil"/>
            </w:tcBorders>
          </w:tcPr>
          <w:p w14:paraId="6E691AA9"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(1854.8)</w:t>
            </w:r>
          </w:p>
        </w:tc>
      </w:tr>
      <w:tr w:rsidR="00372F0B" w:rsidRPr="006258D0" w14:paraId="7B77CCC5" w14:textId="77777777" w:rsidTr="00DD2353">
        <w:trPr>
          <w:jc w:val="center"/>
        </w:trPr>
        <w:tc>
          <w:tcPr>
            <w:tcW w:w="2694" w:type="dxa"/>
            <w:tcBorders>
              <w:top w:val="nil"/>
              <w:left w:val="nil"/>
              <w:bottom w:val="single" w:sz="4" w:space="0" w:color="auto"/>
              <w:right w:val="nil"/>
            </w:tcBorders>
          </w:tcPr>
          <w:p w14:paraId="559261E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Observations</w:t>
            </w:r>
          </w:p>
        </w:tc>
        <w:tc>
          <w:tcPr>
            <w:tcW w:w="1843" w:type="dxa"/>
            <w:tcBorders>
              <w:top w:val="nil"/>
              <w:left w:val="nil"/>
              <w:bottom w:val="single" w:sz="4" w:space="0" w:color="auto"/>
              <w:right w:val="nil"/>
            </w:tcBorders>
          </w:tcPr>
          <w:p w14:paraId="6BC345BE"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46</w:t>
            </w:r>
          </w:p>
        </w:tc>
        <w:tc>
          <w:tcPr>
            <w:tcW w:w="1559" w:type="dxa"/>
            <w:tcBorders>
              <w:top w:val="nil"/>
              <w:left w:val="nil"/>
              <w:bottom w:val="single" w:sz="4" w:space="0" w:color="auto"/>
              <w:right w:val="nil"/>
            </w:tcBorders>
          </w:tcPr>
          <w:p w14:paraId="3D576DE7"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46</w:t>
            </w:r>
          </w:p>
        </w:tc>
        <w:tc>
          <w:tcPr>
            <w:tcW w:w="1417" w:type="dxa"/>
            <w:tcBorders>
              <w:top w:val="nil"/>
              <w:left w:val="nil"/>
              <w:bottom w:val="single" w:sz="4" w:space="0" w:color="auto"/>
              <w:right w:val="nil"/>
            </w:tcBorders>
          </w:tcPr>
          <w:p w14:paraId="5E2015B3"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46</w:t>
            </w:r>
          </w:p>
        </w:tc>
        <w:tc>
          <w:tcPr>
            <w:tcW w:w="1276" w:type="dxa"/>
            <w:tcBorders>
              <w:top w:val="nil"/>
              <w:left w:val="nil"/>
              <w:bottom w:val="single" w:sz="4" w:space="0" w:color="auto"/>
              <w:right w:val="nil"/>
            </w:tcBorders>
          </w:tcPr>
          <w:p w14:paraId="0FED6B9E"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46</w:t>
            </w:r>
          </w:p>
        </w:tc>
        <w:tc>
          <w:tcPr>
            <w:tcW w:w="1276" w:type="dxa"/>
            <w:tcBorders>
              <w:top w:val="nil"/>
              <w:left w:val="nil"/>
              <w:bottom w:val="single" w:sz="4" w:space="0" w:color="auto"/>
              <w:right w:val="nil"/>
            </w:tcBorders>
          </w:tcPr>
          <w:p w14:paraId="22463BFB" w14:textId="77777777" w:rsidR="00372F0B" w:rsidRPr="006258D0" w:rsidRDefault="00372F0B" w:rsidP="003D0615">
            <w:pPr>
              <w:suppressAutoHyphens/>
              <w:spacing w:after="0" w:line="240" w:lineRule="auto"/>
              <w:rPr>
                <w:rFonts w:ascii="Calibri" w:eastAsiaTheme="minorEastAsia" w:hAnsi="Calibri" w:cs="Calibri"/>
                <w:color w:val="000000"/>
                <w:sz w:val="20"/>
                <w:szCs w:val="20"/>
                <w:lang w:val="en-US"/>
                <w14:ligatures w14:val="none"/>
              </w:rPr>
            </w:pPr>
            <w:r w:rsidRPr="006258D0">
              <w:rPr>
                <w:rFonts w:ascii="Calibri" w:eastAsiaTheme="minorEastAsia" w:hAnsi="Calibri" w:cs="Calibri"/>
                <w:color w:val="000000"/>
                <w:sz w:val="20"/>
                <w:szCs w:val="20"/>
                <w:lang w:val="en-US"/>
                <w14:ligatures w14:val="none"/>
              </w:rPr>
              <w:t>46</w:t>
            </w:r>
          </w:p>
        </w:tc>
      </w:tr>
    </w:tbl>
    <w:p w14:paraId="3DF7916F" w14:textId="3A94E520" w:rsidR="00372F0B" w:rsidRPr="00D44E2B" w:rsidRDefault="007C4F1A" w:rsidP="003D0615">
      <w:pPr>
        <w:suppressAutoHyphens/>
        <w:spacing w:line="240" w:lineRule="auto"/>
        <w:rPr>
          <w:rFonts w:ascii="Calibri" w:eastAsiaTheme="minorEastAsia" w:hAnsi="Calibri" w:cs="Calibri"/>
          <w:color w:val="000000"/>
          <w:sz w:val="24"/>
          <w:szCs w:val="24"/>
          <w14:ligatures w14:val="none"/>
        </w:rPr>
      </w:pPr>
      <w:r>
        <w:rPr>
          <w:rFonts w:ascii="Calibri" w:eastAsiaTheme="minorEastAsia" w:hAnsi="Calibri" w:cs="Calibri"/>
          <w:color w:val="000000"/>
          <w:sz w:val="24"/>
          <w:szCs w:val="24"/>
          <w14:ligatures w14:val="none"/>
        </w:rPr>
        <w:t>Nota</w:t>
      </w:r>
      <w:r w:rsidR="00372F0B" w:rsidRPr="00D44E2B">
        <w:rPr>
          <w:rFonts w:ascii="Calibri" w:eastAsiaTheme="minorEastAsia" w:hAnsi="Calibri" w:cs="Calibri"/>
          <w:color w:val="000000"/>
          <w:sz w:val="24"/>
          <w:szCs w:val="24"/>
          <w14:ligatures w14:val="none"/>
        </w:rPr>
        <w:t>: Elaboración propia</w:t>
      </w:r>
      <w:r w:rsidR="00372F0B">
        <w:rPr>
          <w:rFonts w:ascii="Calibri" w:eastAsiaTheme="minorEastAsia" w:hAnsi="Calibri" w:cs="Calibri"/>
          <w:color w:val="000000"/>
          <w:sz w:val="24"/>
          <w:szCs w:val="24"/>
          <w14:ligatures w14:val="none"/>
        </w:rPr>
        <w:t>.</w:t>
      </w:r>
    </w:p>
    <w:p w14:paraId="5BE36E5F" w14:textId="78A22AC2" w:rsidR="003A6363" w:rsidRDefault="001A1CC9" w:rsidP="003D0615">
      <w:pPr>
        <w:suppressAutoHyphens/>
        <w:spacing w:line="240" w:lineRule="auto"/>
        <w:ind w:firstLine="709"/>
        <w:jc w:val="both"/>
        <w:rPr>
          <w:rFonts w:ascii="Calibri" w:eastAsiaTheme="minorEastAsia" w:hAnsi="Calibri" w:cs="Calibri"/>
          <w:color w:val="000000"/>
          <w:sz w:val="24"/>
          <w:szCs w:val="24"/>
          <w14:ligatures w14:val="none"/>
        </w:rPr>
      </w:pPr>
      <w:r w:rsidRPr="001A1CC9">
        <w:rPr>
          <w:rFonts w:ascii="Calibri" w:eastAsiaTheme="minorEastAsia" w:hAnsi="Calibri" w:cs="Calibri"/>
          <w:color w:val="000000"/>
          <w:sz w:val="24"/>
          <w:szCs w:val="24"/>
          <w14:ligatures w14:val="none"/>
        </w:rPr>
        <w:t xml:space="preserve">El Modelo 5 es el más adecuado </w:t>
      </w:r>
      <w:r w:rsidR="00A57029">
        <w:rPr>
          <w:rFonts w:ascii="Calibri" w:eastAsiaTheme="minorEastAsia" w:hAnsi="Calibri" w:cs="Calibri"/>
          <w:color w:val="000000"/>
          <w:sz w:val="24"/>
          <w:szCs w:val="24"/>
          <w14:ligatures w14:val="none"/>
        </w:rPr>
        <w:t>ya que</w:t>
      </w:r>
      <w:r w:rsidRPr="001A1CC9">
        <w:rPr>
          <w:rFonts w:ascii="Calibri" w:eastAsiaTheme="minorEastAsia" w:hAnsi="Calibri" w:cs="Calibri"/>
          <w:color w:val="000000"/>
          <w:sz w:val="24"/>
          <w:szCs w:val="24"/>
          <w14:ligatures w14:val="none"/>
        </w:rPr>
        <w:t xml:space="preserve"> incluye solo variables estadísticamente significativas y relevantes para explicar las visitas turísticas, como el impacto negativo de la pandemia de COVID-19, la importancia positiva del PIB turístico y las vacaciones, y el efecto negativo de la inflación y la confianza del consumidor. Este modelo es </w:t>
      </w:r>
      <w:r w:rsidRPr="00322D18">
        <w:rPr>
          <w:rFonts w:ascii="Calibri" w:eastAsiaTheme="minorEastAsia" w:hAnsi="Calibri" w:cs="Calibri"/>
          <w:color w:val="000000"/>
          <w:sz w:val="24"/>
          <w:szCs w:val="24"/>
          <w14:ligatures w14:val="none"/>
        </w:rPr>
        <w:t>más parsimonioso, eliminando</w:t>
      </w:r>
      <w:r w:rsidRPr="001A1CC9">
        <w:rPr>
          <w:rFonts w:ascii="Calibri" w:eastAsiaTheme="minorEastAsia" w:hAnsi="Calibri" w:cs="Calibri"/>
          <w:color w:val="000000"/>
          <w:sz w:val="24"/>
          <w:szCs w:val="24"/>
          <w14:ligatures w14:val="none"/>
        </w:rPr>
        <w:t xml:space="preserve"> variables redundantes y evitando términos complejos que no aportan significancia. Además, su simplicidad y consistencia teórica favorecen una mejor capacidad predictiva y reducen el riesgo de sobreajuste, alineándose con las tendencias observadas en la literatura sobre el impacto de la pandemia y factores económicos en el turismo</w:t>
      </w:r>
      <w:r w:rsidR="0049583F" w:rsidRPr="00D44E2B">
        <w:rPr>
          <w:rFonts w:ascii="Calibri" w:eastAsiaTheme="minorEastAsia" w:hAnsi="Calibri" w:cs="Calibri"/>
          <w:color w:val="000000"/>
          <w:sz w:val="24"/>
          <w:szCs w:val="24"/>
          <w14:ligatures w14:val="none"/>
        </w:rPr>
        <w:t>.</w:t>
      </w:r>
    </w:p>
    <w:p w14:paraId="63D02271" w14:textId="392502A6" w:rsidR="0049583F" w:rsidRDefault="003A6363" w:rsidP="003D0615">
      <w:pPr>
        <w:suppressAutoHyphens/>
        <w:spacing w:line="240" w:lineRule="auto"/>
        <w:ind w:firstLine="709"/>
        <w:jc w:val="both"/>
        <w:rPr>
          <w:rFonts w:ascii="Calibri" w:eastAsiaTheme="minorEastAsia" w:hAnsi="Calibri" w:cs="Calibri"/>
          <w:b/>
          <w:bCs/>
          <w:sz w:val="24"/>
          <w:szCs w:val="24"/>
          <w14:ligatures w14:val="none"/>
        </w:rPr>
      </w:pPr>
      <w:r w:rsidRPr="003A6363">
        <w:rPr>
          <w:rFonts w:ascii="Calibri" w:eastAsiaTheme="minorEastAsia" w:hAnsi="Calibri" w:cs="Calibri"/>
          <w:b/>
          <w:bCs/>
          <w:sz w:val="24"/>
          <w:szCs w:val="24"/>
          <w14:ligatures w14:val="none"/>
        </w:rPr>
        <w:t xml:space="preserve">3.6 </w:t>
      </w:r>
      <w:r w:rsidR="0049583F" w:rsidRPr="003A6363">
        <w:rPr>
          <w:rFonts w:ascii="Calibri" w:eastAsiaTheme="minorEastAsia" w:hAnsi="Calibri" w:cs="Calibri"/>
          <w:b/>
          <w:bCs/>
          <w:sz w:val="24"/>
          <w:szCs w:val="24"/>
          <w14:ligatures w14:val="none"/>
        </w:rPr>
        <w:t>Análisis del Modelo 5</w:t>
      </w:r>
    </w:p>
    <w:p w14:paraId="1D973559" w14:textId="6CE8C41C" w:rsidR="003A6363" w:rsidRDefault="003A6363" w:rsidP="003D0615">
      <w:pPr>
        <w:suppressAutoHyphens/>
        <w:spacing w:line="240" w:lineRule="auto"/>
        <w:ind w:firstLine="709"/>
        <w:jc w:val="both"/>
        <w:rPr>
          <w:rFonts w:ascii="Calibri" w:eastAsiaTheme="minorEastAsia" w:hAnsi="Calibri" w:cs="Calibri"/>
          <w:sz w:val="24"/>
          <w:szCs w:val="24"/>
          <w14:ligatures w14:val="none"/>
        </w:rPr>
      </w:pPr>
      <w:r>
        <w:rPr>
          <w:rFonts w:ascii="Calibri" w:eastAsiaTheme="minorEastAsia" w:hAnsi="Calibri" w:cs="Calibri"/>
          <w:sz w:val="24"/>
          <w:szCs w:val="24"/>
          <w14:ligatures w14:val="none"/>
        </w:rPr>
        <w:t xml:space="preserve">La Tabla </w:t>
      </w:r>
      <w:r w:rsidR="001722A6">
        <w:rPr>
          <w:rFonts w:ascii="Calibri" w:eastAsiaTheme="minorEastAsia" w:hAnsi="Calibri" w:cs="Calibri"/>
          <w:sz w:val="24"/>
          <w:szCs w:val="24"/>
          <w14:ligatures w14:val="none"/>
        </w:rPr>
        <w:t>6</w:t>
      </w:r>
      <w:r>
        <w:rPr>
          <w:rFonts w:ascii="Calibri" w:eastAsiaTheme="minorEastAsia" w:hAnsi="Calibri" w:cs="Calibri"/>
          <w:sz w:val="24"/>
          <w:szCs w:val="24"/>
          <w14:ligatures w14:val="none"/>
        </w:rPr>
        <w:t xml:space="preserve"> muestra el modelo que presentó el mayor poder explicativo de las variables determinantes del flujo turístico de la RBPGDA.</w:t>
      </w:r>
      <w:r w:rsidR="005E3BFC">
        <w:rPr>
          <w:rFonts w:ascii="Calibri" w:eastAsiaTheme="minorEastAsia" w:hAnsi="Calibri" w:cs="Calibri"/>
          <w:sz w:val="24"/>
          <w:szCs w:val="24"/>
          <w14:ligatures w14:val="none"/>
        </w:rPr>
        <w:t xml:space="preserve"> </w:t>
      </w:r>
      <w:r w:rsidR="005E3BFC" w:rsidRPr="005E3BFC">
        <w:rPr>
          <w:rFonts w:ascii="Calibri" w:eastAsiaTheme="minorEastAsia" w:hAnsi="Calibri" w:cs="Calibri"/>
          <w:sz w:val="24"/>
          <w:szCs w:val="24"/>
          <w14:ligatures w14:val="none"/>
        </w:rPr>
        <w:t xml:space="preserve">El </w:t>
      </w:r>
      <w:r w:rsidR="005E3BFC">
        <w:rPr>
          <w:rFonts w:ascii="Calibri" w:eastAsiaTheme="minorEastAsia" w:hAnsi="Calibri" w:cs="Calibri"/>
          <w:sz w:val="24"/>
          <w:szCs w:val="24"/>
          <w14:ligatures w14:val="none"/>
        </w:rPr>
        <w:t xml:space="preserve">cual </w:t>
      </w:r>
      <w:r w:rsidR="005E3BFC" w:rsidRPr="005E3BFC">
        <w:rPr>
          <w:rFonts w:ascii="Calibri" w:eastAsiaTheme="minorEastAsia" w:hAnsi="Calibri" w:cs="Calibri"/>
          <w:sz w:val="24"/>
          <w:szCs w:val="24"/>
          <w14:ligatures w14:val="none"/>
        </w:rPr>
        <w:t xml:space="preserve">confirma que </w:t>
      </w:r>
      <w:r w:rsidR="00AC650C">
        <w:rPr>
          <w:rFonts w:ascii="Calibri" w:eastAsiaTheme="minorEastAsia" w:hAnsi="Calibri" w:cs="Calibri"/>
          <w:sz w:val="24"/>
          <w:szCs w:val="24"/>
          <w14:ligatures w14:val="none"/>
        </w:rPr>
        <w:t>el flujo turístico</w:t>
      </w:r>
      <w:r w:rsidR="005E3BFC" w:rsidRPr="005E3BFC">
        <w:rPr>
          <w:rFonts w:ascii="Calibri" w:eastAsiaTheme="minorEastAsia" w:hAnsi="Calibri" w:cs="Calibri"/>
          <w:sz w:val="24"/>
          <w:szCs w:val="24"/>
          <w14:ligatures w14:val="none"/>
        </w:rPr>
        <w:t xml:space="preserve"> depende principalmente de la</w:t>
      </w:r>
      <w:r w:rsidR="00AC650C">
        <w:rPr>
          <w:rFonts w:ascii="Calibri" w:eastAsiaTheme="minorEastAsia" w:hAnsi="Calibri" w:cs="Calibri"/>
          <w:sz w:val="24"/>
          <w:szCs w:val="24"/>
          <w14:ligatures w14:val="none"/>
        </w:rPr>
        <w:t>s variables COVID</w:t>
      </w:r>
      <w:r w:rsidR="005E3BFC" w:rsidRPr="005E3BFC">
        <w:rPr>
          <w:rFonts w:ascii="Calibri" w:eastAsiaTheme="minorEastAsia" w:hAnsi="Calibri" w:cs="Calibri"/>
          <w:sz w:val="24"/>
          <w:szCs w:val="24"/>
          <w14:ligatures w14:val="none"/>
        </w:rPr>
        <w:t>, PIB turístico,</w:t>
      </w:r>
      <w:r w:rsidR="00AC650C">
        <w:rPr>
          <w:rFonts w:ascii="Calibri" w:eastAsiaTheme="minorEastAsia" w:hAnsi="Calibri" w:cs="Calibri"/>
          <w:sz w:val="24"/>
          <w:szCs w:val="24"/>
          <w14:ligatures w14:val="none"/>
        </w:rPr>
        <w:t xml:space="preserve"> </w:t>
      </w:r>
      <w:r w:rsidR="005E3BFC" w:rsidRPr="005E3BFC">
        <w:rPr>
          <w:rFonts w:ascii="Calibri" w:eastAsiaTheme="minorEastAsia" w:hAnsi="Calibri" w:cs="Calibri"/>
          <w:sz w:val="24"/>
          <w:szCs w:val="24"/>
          <w14:ligatures w14:val="none"/>
        </w:rPr>
        <w:t>periodos vacacionales,</w:t>
      </w:r>
      <w:r w:rsidR="00AC650C">
        <w:rPr>
          <w:rFonts w:ascii="Calibri" w:eastAsiaTheme="minorEastAsia" w:hAnsi="Calibri" w:cs="Calibri"/>
          <w:sz w:val="24"/>
          <w:szCs w:val="24"/>
          <w14:ligatures w14:val="none"/>
        </w:rPr>
        <w:t xml:space="preserve"> </w:t>
      </w:r>
      <w:r w:rsidR="005E3BFC" w:rsidRPr="005E3BFC">
        <w:rPr>
          <w:rFonts w:ascii="Calibri" w:eastAsiaTheme="minorEastAsia" w:hAnsi="Calibri" w:cs="Calibri"/>
          <w:sz w:val="24"/>
          <w:szCs w:val="24"/>
          <w14:ligatures w14:val="none"/>
        </w:rPr>
        <w:t>confianza del consumidor y la inflación. Estos factores son estadísticamente significativos y explican el 59.6% de la variabilidad observada, mostrando así un buen ajuste y solidez del modelo.</w:t>
      </w:r>
    </w:p>
    <w:p w14:paraId="367C3849" w14:textId="77777777" w:rsidR="003C4823" w:rsidRDefault="003C4823" w:rsidP="003D0615">
      <w:pPr>
        <w:suppressAutoHyphens/>
        <w:spacing w:line="240" w:lineRule="auto"/>
        <w:ind w:firstLine="709"/>
        <w:jc w:val="both"/>
        <w:rPr>
          <w:rFonts w:ascii="Calibri" w:eastAsiaTheme="minorEastAsia" w:hAnsi="Calibri" w:cs="Calibri"/>
          <w:sz w:val="24"/>
          <w:szCs w:val="24"/>
          <w14:ligatures w14:val="none"/>
        </w:rPr>
      </w:pPr>
    </w:p>
    <w:p w14:paraId="0DAA691A" w14:textId="77777777" w:rsidR="003C4823" w:rsidRDefault="003C4823" w:rsidP="003D0615">
      <w:pPr>
        <w:suppressAutoHyphens/>
        <w:spacing w:line="240" w:lineRule="auto"/>
        <w:ind w:firstLine="709"/>
        <w:jc w:val="both"/>
        <w:rPr>
          <w:rFonts w:ascii="Calibri" w:eastAsiaTheme="minorEastAsia" w:hAnsi="Calibri" w:cs="Calibri"/>
          <w:sz w:val="24"/>
          <w:szCs w:val="24"/>
          <w14:ligatures w14:val="none"/>
        </w:rPr>
      </w:pPr>
    </w:p>
    <w:p w14:paraId="1132F584" w14:textId="77777777" w:rsidR="003C4823" w:rsidRPr="003A6363" w:rsidRDefault="003C4823" w:rsidP="003D0615">
      <w:pPr>
        <w:suppressAutoHyphens/>
        <w:spacing w:line="240" w:lineRule="auto"/>
        <w:ind w:firstLine="709"/>
        <w:jc w:val="both"/>
        <w:rPr>
          <w:rFonts w:ascii="Calibri" w:eastAsiaTheme="minorEastAsia" w:hAnsi="Calibri" w:cs="Calibri"/>
          <w:color w:val="000000"/>
          <w:sz w:val="24"/>
          <w:szCs w:val="24"/>
          <w14:ligatures w14:val="none"/>
        </w:rPr>
      </w:pPr>
    </w:p>
    <w:p w14:paraId="46D64F42" w14:textId="355B181D" w:rsidR="0049583F" w:rsidRPr="0063691F" w:rsidRDefault="0049583F" w:rsidP="003D0615">
      <w:pPr>
        <w:suppressAutoHyphens/>
        <w:spacing w:line="240" w:lineRule="auto"/>
        <w:ind w:firstLine="709"/>
        <w:rPr>
          <w:rFonts w:ascii="Calibri" w:eastAsiaTheme="minorEastAsia" w:hAnsi="Calibri" w:cs="Calibri"/>
          <w:b/>
          <w:bCs/>
          <w:color w:val="000000"/>
          <w:sz w:val="24"/>
          <w:szCs w:val="24"/>
          <w14:ligatures w14:val="none"/>
        </w:rPr>
      </w:pPr>
      <w:r w:rsidRPr="00D44E2B">
        <w:rPr>
          <w:rFonts w:ascii="Calibri" w:eastAsiaTheme="minorEastAsia" w:hAnsi="Calibri" w:cs="Calibri"/>
          <w:b/>
          <w:bCs/>
          <w:color w:val="000000"/>
          <w:sz w:val="24"/>
          <w:szCs w:val="24"/>
          <w14:ligatures w14:val="none"/>
        </w:rPr>
        <w:lastRenderedPageBreak/>
        <w:t xml:space="preserve">Tabla </w:t>
      </w:r>
      <w:r w:rsidR="001722A6">
        <w:rPr>
          <w:rFonts w:ascii="Calibri" w:eastAsiaTheme="minorEastAsia" w:hAnsi="Calibri" w:cs="Calibri"/>
          <w:b/>
          <w:bCs/>
          <w:color w:val="000000"/>
          <w:sz w:val="24"/>
          <w:szCs w:val="24"/>
          <w14:ligatures w14:val="none"/>
        </w:rPr>
        <w:t>6</w:t>
      </w:r>
      <w:r w:rsidR="005E1559">
        <w:rPr>
          <w:rFonts w:ascii="Calibri" w:eastAsiaTheme="minorEastAsia" w:hAnsi="Calibri" w:cs="Calibri"/>
          <w:b/>
          <w:bCs/>
          <w:color w:val="000000"/>
          <w:sz w:val="24"/>
          <w:szCs w:val="24"/>
          <w14:ligatures w14:val="none"/>
        </w:rPr>
        <w:t>.</w:t>
      </w:r>
      <w:r w:rsidR="0063691F">
        <w:rPr>
          <w:rFonts w:ascii="Calibri" w:eastAsiaTheme="minorEastAsia" w:hAnsi="Calibri" w:cs="Calibri"/>
          <w:b/>
          <w:bCs/>
          <w:color w:val="000000"/>
          <w:sz w:val="24"/>
          <w:szCs w:val="24"/>
          <w14:ligatures w14:val="none"/>
        </w:rPr>
        <w:t xml:space="preserve"> </w:t>
      </w:r>
      <w:r w:rsidR="005E1559" w:rsidRPr="001722A6">
        <w:rPr>
          <w:rFonts w:ascii="Calibri" w:eastAsiaTheme="minorEastAsia" w:hAnsi="Calibri" w:cs="Calibri"/>
          <w:color w:val="000000"/>
          <w:sz w:val="24"/>
          <w:szCs w:val="24"/>
          <w14:ligatures w14:val="none"/>
        </w:rPr>
        <w:t>Estimación del modelo de regresión lineal múltiple</w:t>
      </w:r>
    </w:p>
    <w:tbl>
      <w:tblPr>
        <w:tblW w:w="10175" w:type="dxa"/>
        <w:jc w:val="center"/>
        <w:tblLayout w:type="fixed"/>
        <w:tblLook w:val="0000" w:firstRow="0" w:lastRow="0" w:firstColumn="0" w:lastColumn="0" w:noHBand="0" w:noVBand="0"/>
      </w:tblPr>
      <w:tblGrid>
        <w:gridCol w:w="2977"/>
        <w:gridCol w:w="693"/>
        <w:gridCol w:w="583"/>
        <w:gridCol w:w="1076"/>
        <w:gridCol w:w="54"/>
        <w:gridCol w:w="779"/>
        <w:gridCol w:w="784"/>
        <w:gridCol w:w="694"/>
        <w:gridCol w:w="582"/>
        <w:gridCol w:w="142"/>
        <w:gridCol w:w="985"/>
        <w:gridCol w:w="237"/>
        <w:gridCol w:w="589"/>
      </w:tblGrid>
      <w:tr w:rsidR="0049583F" w:rsidRPr="00E77DC6" w14:paraId="26E32D70" w14:textId="77777777" w:rsidTr="001D1D91">
        <w:trPr>
          <w:trHeight w:val="340"/>
          <w:jc w:val="center"/>
        </w:trPr>
        <w:tc>
          <w:tcPr>
            <w:tcW w:w="2977" w:type="dxa"/>
            <w:tcBorders>
              <w:top w:val="single" w:sz="4" w:space="0" w:color="000000"/>
              <w:bottom w:val="single" w:sz="8" w:space="0" w:color="000000"/>
            </w:tcBorders>
            <w:vAlign w:val="center"/>
          </w:tcPr>
          <w:p w14:paraId="26AB6FC5"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proofErr w:type="spellStart"/>
            <w:r w:rsidRPr="00E77DC6">
              <w:rPr>
                <w:rFonts w:ascii="Calibri" w:eastAsiaTheme="minorEastAsia" w:hAnsi="Calibri" w:cs="Calibri"/>
                <w:kern w:val="0"/>
                <w:sz w:val="20"/>
                <w:szCs w:val="20"/>
                <w:lang w:val="en-US" w:eastAsia="es-MX"/>
                <w14:ligatures w14:val="none"/>
              </w:rPr>
              <w:t>Visitas</w:t>
            </w:r>
            <w:proofErr w:type="spellEnd"/>
          </w:p>
        </w:tc>
        <w:tc>
          <w:tcPr>
            <w:tcW w:w="1276" w:type="dxa"/>
            <w:gridSpan w:val="2"/>
            <w:tcBorders>
              <w:top w:val="single" w:sz="4" w:space="0" w:color="000000"/>
              <w:bottom w:val="single" w:sz="8" w:space="0" w:color="000000"/>
            </w:tcBorders>
            <w:vAlign w:val="center"/>
          </w:tcPr>
          <w:p w14:paraId="19EB9569" w14:textId="28024184" w:rsidR="0049583F" w:rsidRPr="00E77DC6" w:rsidRDefault="0049583F" w:rsidP="003D0615">
            <w:pPr>
              <w:widowControl w:val="0"/>
              <w:suppressAutoHyphens/>
              <w:spacing w:after="0" w:line="240" w:lineRule="auto"/>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Coef.</w:t>
            </w:r>
          </w:p>
        </w:tc>
        <w:tc>
          <w:tcPr>
            <w:tcW w:w="1076" w:type="dxa"/>
            <w:tcBorders>
              <w:top w:val="single" w:sz="4" w:space="0" w:color="000000"/>
              <w:bottom w:val="single" w:sz="8" w:space="0" w:color="000000"/>
            </w:tcBorders>
            <w:vAlign w:val="center"/>
          </w:tcPr>
          <w:p w14:paraId="7DCFA380" w14:textId="7998344D"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proofErr w:type="spellStart"/>
            <w:proofErr w:type="gramStart"/>
            <w:r w:rsidRPr="00E77DC6">
              <w:rPr>
                <w:rFonts w:ascii="Calibri" w:eastAsiaTheme="minorEastAsia" w:hAnsi="Calibri" w:cs="Calibri"/>
                <w:kern w:val="0"/>
                <w:sz w:val="20"/>
                <w:szCs w:val="20"/>
                <w:lang w:val="en-US" w:eastAsia="es-MX"/>
                <w14:ligatures w14:val="none"/>
              </w:rPr>
              <w:t>St.Err</w:t>
            </w:r>
            <w:proofErr w:type="spellEnd"/>
            <w:proofErr w:type="gramEnd"/>
            <w:r w:rsidRPr="00E77DC6">
              <w:rPr>
                <w:rFonts w:ascii="Calibri" w:eastAsiaTheme="minorEastAsia" w:hAnsi="Calibri" w:cs="Calibri"/>
                <w:kern w:val="0"/>
                <w:sz w:val="20"/>
                <w:szCs w:val="20"/>
                <w:lang w:val="en-US" w:eastAsia="es-MX"/>
                <w14:ligatures w14:val="none"/>
              </w:rPr>
              <w:t>.</w:t>
            </w:r>
          </w:p>
        </w:tc>
        <w:tc>
          <w:tcPr>
            <w:tcW w:w="833" w:type="dxa"/>
            <w:gridSpan w:val="2"/>
            <w:tcBorders>
              <w:top w:val="single" w:sz="4" w:space="0" w:color="000000"/>
              <w:bottom w:val="single" w:sz="8" w:space="0" w:color="000000"/>
            </w:tcBorders>
            <w:vAlign w:val="center"/>
          </w:tcPr>
          <w:p w14:paraId="21C054D8" w14:textId="5F1B5586"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t-value</w:t>
            </w:r>
          </w:p>
        </w:tc>
        <w:tc>
          <w:tcPr>
            <w:tcW w:w="784" w:type="dxa"/>
            <w:tcBorders>
              <w:top w:val="single" w:sz="4" w:space="0" w:color="000000"/>
              <w:bottom w:val="single" w:sz="8" w:space="0" w:color="000000"/>
            </w:tcBorders>
            <w:vAlign w:val="center"/>
          </w:tcPr>
          <w:p w14:paraId="6A83B94F" w14:textId="36ACD0B8"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p-value</w:t>
            </w:r>
          </w:p>
        </w:tc>
        <w:tc>
          <w:tcPr>
            <w:tcW w:w="1418" w:type="dxa"/>
            <w:gridSpan w:val="3"/>
            <w:tcBorders>
              <w:top w:val="single" w:sz="4" w:space="0" w:color="000000"/>
              <w:bottom w:val="single" w:sz="8" w:space="0" w:color="000000"/>
            </w:tcBorders>
            <w:vAlign w:val="center"/>
          </w:tcPr>
          <w:p w14:paraId="5A68F98B" w14:textId="1ECFF0EC"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[95% Conf</w:t>
            </w:r>
          </w:p>
        </w:tc>
        <w:tc>
          <w:tcPr>
            <w:tcW w:w="1222" w:type="dxa"/>
            <w:gridSpan w:val="2"/>
            <w:tcBorders>
              <w:top w:val="single" w:sz="4" w:space="0" w:color="000000"/>
              <w:bottom w:val="single" w:sz="8" w:space="0" w:color="000000"/>
            </w:tcBorders>
            <w:vAlign w:val="center"/>
          </w:tcPr>
          <w:p w14:paraId="083A2E47" w14:textId="2A5A4B8D" w:rsidR="0049583F" w:rsidRPr="00E77DC6" w:rsidRDefault="0049583F" w:rsidP="003D0615">
            <w:pPr>
              <w:widowControl w:val="0"/>
              <w:suppressAutoHyphens/>
              <w:spacing w:after="0" w:line="240" w:lineRule="auto"/>
              <w:ind w:right="-17"/>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Interval]</w:t>
            </w:r>
          </w:p>
        </w:tc>
        <w:tc>
          <w:tcPr>
            <w:tcW w:w="589" w:type="dxa"/>
            <w:tcBorders>
              <w:top w:val="single" w:sz="4" w:space="0" w:color="000000"/>
              <w:bottom w:val="single" w:sz="8" w:space="0" w:color="000000"/>
            </w:tcBorders>
            <w:vAlign w:val="center"/>
          </w:tcPr>
          <w:p w14:paraId="3B0E1908" w14:textId="65113471"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Sig</w:t>
            </w:r>
          </w:p>
        </w:tc>
      </w:tr>
      <w:tr w:rsidR="0049583F" w:rsidRPr="00E77DC6" w14:paraId="25899142" w14:textId="77777777" w:rsidTr="001D1D91">
        <w:trPr>
          <w:trHeight w:val="340"/>
          <w:jc w:val="center"/>
        </w:trPr>
        <w:tc>
          <w:tcPr>
            <w:tcW w:w="2977" w:type="dxa"/>
            <w:vAlign w:val="center"/>
          </w:tcPr>
          <w:p w14:paraId="7452D9E1" w14:textId="41FD5675" w:rsidR="0049583F" w:rsidRPr="00E77DC6" w:rsidRDefault="00F76164" w:rsidP="003D0615">
            <w:pPr>
              <w:widowControl w:val="0"/>
              <w:suppressAutoHyphens/>
              <w:spacing w:after="0" w:line="240" w:lineRule="auto"/>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COVID</w:t>
            </w:r>
          </w:p>
        </w:tc>
        <w:tc>
          <w:tcPr>
            <w:tcW w:w="1276" w:type="dxa"/>
            <w:gridSpan w:val="2"/>
            <w:vAlign w:val="center"/>
          </w:tcPr>
          <w:p w14:paraId="297D95C9" w14:textId="5B139783" w:rsidR="0049583F" w:rsidRPr="00E77DC6" w:rsidRDefault="004B6980"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- 1313.284</w:t>
            </w:r>
          </w:p>
        </w:tc>
        <w:tc>
          <w:tcPr>
            <w:tcW w:w="1076" w:type="dxa"/>
            <w:vAlign w:val="center"/>
          </w:tcPr>
          <w:p w14:paraId="51E7FC09"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379.308</w:t>
            </w:r>
          </w:p>
        </w:tc>
        <w:tc>
          <w:tcPr>
            <w:tcW w:w="833" w:type="dxa"/>
            <w:gridSpan w:val="2"/>
            <w:vAlign w:val="center"/>
          </w:tcPr>
          <w:p w14:paraId="4BBCD211"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-3.46</w:t>
            </w:r>
          </w:p>
        </w:tc>
        <w:tc>
          <w:tcPr>
            <w:tcW w:w="784" w:type="dxa"/>
            <w:vAlign w:val="center"/>
          </w:tcPr>
          <w:p w14:paraId="25D3A620"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.001</w:t>
            </w:r>
          </w:p>
        </w:tc>
        <w:tc>
          <w:tcPr>
            <w:tcW w:w="1276" w:type="dxa"/>
            <w:gridSpan w:val="2"/>
            <w:vAlign w:val="center"/>
          </w:tcPr>
          <w:p w14:paraId="4398EC32"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-2081.153</w:t>
            </w:r>
          </w:p>
        </w:tc>
        <w:tc>
          <w:tcPr>
            <w:tcW w:w="1364" w:type="dxa"/>
            <w:gridSpan w:val="3"/>
            <w:vAlign w:val="center"/>
          </w:tcPr>
          <w:p w14:paraId="5CAA1A72"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-545.415</w:t>
            </w:r>
          </w:p>
        </w:tc>
        <w:tc>
          <w:tcPr>
            <w:tcW w:w="589" w:type="dxa"/>
            <w:vAlign w:val="center"/>
          </w:tcPr>
          <w:p w14:paraId="04C570EB"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w:t>
            </w:r>
          </w:p>
        </w:tc>
      </w:tr>
      <w:tr w:rsidR="0049583F" w:rsidRPr="00E77DC6" w14:paraId="6A0AEBED" w14:textId="77777777" w:rsidTr="001D1D91">
        <w:trPr>
          <w:trHeight w:val="340"/>
          <w:jc w:val="center"/>
        </w:trPr>
        <w:tc>
          <w:tcPr>
            <w:tcW w:w="2977" w:type="dxa"/>
            <w:vAlign w:val="center"/>
          </w:tcPr>
          <w:p w14:paraId="2996590F" w14:textId="77777777" w:rsidR="0049583F" w:rsidRPr="00E77DC6" w:rsidRDefault="0049583F" w:rsidP="003D0615">
            <w:pPr>
              <w:widowControl w:val="0"/>
              <w:suppressAutoHyphens/>
              <w:spacing w:after="0" w:line="240" w:lineRule="auto"/>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 xml:space="preserve">PIB </w:t>
            </w:r>
            <w:proofErr w:type="spellStart"/>
            <w:r w:rsidRPr="00E77DC6">
              <w:rPr>
                <w:rFonts w:ascii="Calibri" w:eastAsiaTheme="minorEastAsia" w:hAnsi="Calibri" w:cs="Calibri"/>
                <w:kern w:val="0"/>
                <w:sz w:val="20"/>
                <w:szCs w:val="20"/>
                <w:lang w:val="en-US" w:eastAsia="es-MX"/>
                <w14:ligatures w14:val="none"/>
              </w:rPr>
              <w:t>Turístico</w:t>
            </w:r>
            <w:proofErr w:type="spellEnd"/>
          </w:p>
        </w:tc>
        <w:tc>
          <w:tcPr>
            <w:tcW w:w="1276" w:type="dxa"/>
            <w:gridSpan w:val="2"/>
            <w:vAlign w:val="center"/>
          </w:tcPr>
          <w:p w14:paraId="07E36440"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34.151</w:t>
            </w:r>
          </w:p>
        </w:tc>
        <w:tc>
          <w:tcPr>
            <w:tcW w:w="1076" w:type="dxa"/>
            <w:vAlign w:val="center"/>
          </w:tcPr>
          <w:p w14:paraId="3989AFE3"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15.091</w:t>
            </w:r>
          </w:p>
        </w:tc>
        <w:tc>
          <w:tcPr>
            <w:tcW w:w="833" w:type="dxa"/>
            <w:gridSpan w:val="2"/>
            <w:vAlign w:val="center"/>
          </w:tcPr>
          <w:p w14:paraId="722D59A0"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2.26</w:t>
            </w:r>
          </w:p>
        </w:tc>
        <w:tc>
          <w:tcPr>
            <w:tcW w:w="784" w:type="dxa"/>
            <w:vAlign w:val="center"/>
          </w:tcPr>
          <w:p w14:paraId="50D437E0"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.029</w:t>
            </w:r>
          </w:p>
        </w:tc>
        <w:tc>
          <w:tcPr>
            <w:tcW w:w="1276" w:type="dxa"/>
            <w:gridSpan w:val="2"/>
            <w:vAlign w:val="center"/>
          </w:tcPr>
          <w:p w14:paraId="787063D0"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3.6</w:t>
            </w:r>
          </w:p>
        </w:tc>
        <w:tc>
          <w:tcPr>
            <w:tcW w:w="1364" w:type="dxa"/>
            <w:gridSpan w:val="3"/>
            <w:vAlign w:val="center"/>
          </w:tcPr>
          <w:p w14:paraId="0AB221CB"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64.701</w:t>
            </w:r>
          </w:p>
        </w:tc>
        <w:tc>
          <w:tcPr>
            <w:tcW w:w="589" w:type="dxa"/>
            <w:vAlign w:val="center"/>
          </w:tcPr>
          <w:p w14:paraId="6EC72CB4"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w:t>
            </w:r>
          </w:p>
        </w:tc>
      </w:tr>
      <w:tr w:rsidR="0049583F" w:rsidRPr="00E77DC6" w14:paraId="2DCA422A" w14:textId="77777777" w:rsidTr="001D1D91">
        <w:trPr>
          <w:trHeight w:val="340"/>
          <w:jc w:val="center"/>
        </w:trPr>
        <w:tc>
          <w:tcPr>
            <w:tcW w:w="2977" w:type="dxa"/>
            <w:vAlign w:val="center"/>
          </w:tcPr>
          <w:p w14:paraId="4009CAB9" w14:textId="77777777" w:rsidR="0049583F" w:rsidRPr="00E77DC6" w:rsidRDefault="0049583F" w:rsidP="003D0615">
            <w:pPr>
              <w:widowControl w:val="0"/>
              <w:suppressAutoHyphens/>
              <w:spacing w:after="0" w:line="240" w:lineRule="auto"/>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Riesgo País</w:t>
            </w:r>
          </w:p>
        </w:tc>
        <w:tc>
          <w:tcPr>
            <w:tcW w:w="1276" w:type="dxa"/>
            <w:gridSpan w:val="2"/>
            <w:vAlign w:val="center"/>
          </w:tcPr>
          <w:p w14:paraId="52B2FD10"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-.668</w:t>
            </w:r>
          </w:p>
        </w:tc>
        <w:tc>
          <w:tcPr>
            <w:tcW w:w="1076" w:type="dxa"/>
            <w:vAlign w:val="center"/>
          </w:tcPr>
          <w:p w14:paraId="37A33132"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3.823</w:t>
            </w:r>
          </w:p>
        </w:tc>
        <w:tc>
          <w:tcPr>
            <w:tcW w:w="833" w:type="dxa"/>
            <w:gridSpan w:val="2"/>
            <w:vAlign w:val="center"/>
          </w:tcPr>
          <w:p w14:paraId="0AA3119A"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-0.17</w:t>
            </w:r>
          </w:p>
        </w:tc>
        <w:tc>
          <w:tcPr>
            <w:tcW w:w="784" w:type="dxa"/>
            <w:vAlign w:val="center"/>
          </w:tcPr>
          <w:p w14:paraId="2CE6EA88"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.862</w:t>
            </w:r>
          </w:p>
        </w:tc>
        <w:tc>
          <w:tcPr>
            <w:tcW w:w="1276" w:type="dxa"/>
            <w:gridSpan w:val="2"/>
            <w:vAlign w:val="center"/>
          </w:tcPr>
          <w:p w14:paraId="31C035FA"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-8.406</w:t>
            </w:r>
          </w:p>
        </w:tc>
        <w:tc>
          <w:tcPr>
            <w:tcW w:w="1364" w:type="dxa"/>
            <w:gridSpan w:val="3"/>
            <w:vAlign w:val="center"/>
          </w:tcPr>
          <w:p w14:paraId="35E3981B"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7.071</w:t>
            </w:r>
          </w:p>
        </w:tc>
        <w:tc>
          <w:tcPr>
            <w:tcW w:w="589" w:type="dxa"/>
            <w:vAlign w:val="center"/>
          </w:tcPr>
          <w:p w14:paraId="774F06F1"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p>
        </w:tc>
      </w:tr>
      <w:tr w:rsidR="0049583F" w:rsidRPr="00E77DC6" w14:paraId="5C6192DC" w14:textId="77777777" w:rsidTr="001D1D91">
        <w:trPr>
          <w:trHeight w:val="340"/>
          <w:jc w:val="center"/>
        </w:trPr>
        <w:tc>
          <w:tcPr>
            <w:tcW w:w="2977" w:type="dxa"/>
            <w:vAlign w:val="center"/>
          </w:tcPr>
          <w:p w14:paraId="43590D6A" w14:textId="649717A2" w:rsidR="0049583F" w:rsidRPr="00E77DC6" w:rsidRDefault="0049583F" w:rsidP="003D0615">
            <w:pPr>
              <w:widowControl w:val="0"/>
              <w:suppressAutoHyphens/>
              <w:spacing w:after="0" w:line="240" w:lineRule="auto"/>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 xml:space="preserve">Patrimonio </w:t>
            </w:r>
            <w:r w:rsidR="008F362C" w:rsidRPr="00E77DC6">
              <w:rPr>
                <w:rFonts w:ascii="Calibri" w:eastAsiaTheme="minorEastAsia" w:hAnsi="Calibri" w:cs="Calibri"/>
                <w:kern w:val="0"/>
                <w:sz w:val="20"/>
                <w:szCs w:val="20"/>
                <w:lang w:val="en-US" w:eastAsia="es-MX"/>
                <w14:ligatures w14:val="none"/>
              </w:rPr>
              <w:t>M</w:t>
            </w:r>
            <w:r w:rsidR="001722A6" w:rsidRPr="00E77DC6">
              <w:rPr>
                <w:rFonts w:ascii="Calibri" w:eastAsiaTheme="minorEastAsia" w:hAnsi="Calibri" w:cs="Calibri"/>
                <w:kern w:val="0"/>
                <w:sz w:val="20"/>
                <w:szCs w:val="20"/>
                <w:lang w:val="en-US" w:eastAsia="es-MX"/>
                <w14:ligatures w14:val="none"/>
              </w:rPr>
              <w:t>undial</w:t>
            </w:r>
          </w:p>
        </w:tc>
        <w:tc>
          <w:tcPr>
            <w:tcW w:w="1276" w:type="dxa"/>
            <w:gridSpan w:val="2"/>
            <w:vAlign w:val="center"/>
          </w:tcPr>
          <w:p w14:paraId="4A647246"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88.459</w:t>
            </w:r>
          </w:p>
        </w:tc>
        <w:tc>
          <w:tcPr>
            <w:tcW w:w="1076" w:type="dxa"/>
            <w:vAlign w:val="center"/>
          </w:tcPr>
          <w:p w14:paraId="0A80CE4F"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351.297</w:t>
            </w:r>
          </w:p>
        </w:tc>
        <w:tc>
          <w:tcPr>
            <w:tcW w:w="833" w:type="dxa"/>
            <w:gridSpan w:val="2"/>
            <w:vAlign w:val="center"/>
          </w:tcPr>
          <w:p w14:paraId="0A776F3D"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0.25</w:t>
            </w:r>
          </w:p>
        </w:tc>
        <w:tc>
          <w:tcPr>
            <w:tcW w:w="784" w:type="dxa"/>
            <w:vAlign w:val="center"/>
          </w:tcPr>
          <w:p w14:paraId="22F33607"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.803</w:t>
            </w:r>
          </w:p>
        </w:tc>
        <w:tc>
          <w:tcPr>
            <w:tcW w:w="1276" w:type="dxa"/>
            <w:gridSpan w:val="2"/>
            <w:vAlign w:val="center"/>
          </w:tcPr>
          <w:p w14:paraId="676C6D3A"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-622.705</w:t>
            </w:r>
          </w:p>
        </w:tc>
        <w:tc>
          <w:tcPr>
            <w:tcW w:w="1364" w:type="dxa"/>
            <w:gridSpan w:val="3"/>
            <w:vAlign w:val="center"/>
          </w:tcPr>
          <w:p w14:paraId="45A73D3C"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799.623</w:t>
            </w:r>
          </w:p>
        </w:tc>
        <w:tc>
          <w:tcPr>
            <w:tcW w:w="589" w:type="dxa"/>
            <w:vAlign w:val="center"/>
          </w:tcPr>
          <w:p w14:paraId="3BE5079B"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p>
        </w:tc>
      </w:tr>
      <w:tr w:rsidR="0049583F" w:rsidRPr="00E77DC6" w14:paraId="709A9C43" w14:textId="77777777" w:rsidTr="001D1D91">
        <w:trPr>
          <w:trHeight w:val="340"/>
          <w:jc w:val="center"/>
        </w:trPr>
        <w:tc>
          <w:tcPr>
            <w:tcW w:w="2977" w:type="dxa"/>
            <w:vAlign w:val="center"/>
          </w:tcPr>
          <w:p w14:paraId="264BDBB0" w14:textId="77777777" w:rsidR="0049583F" w:rsidRPr="00E77DC6" w:rsidRDefault="0049583F" w:rsidP="003D0615">
            <w:pPr>
              <w:widowControl w:val="0"/>
              <w:suppressAutoHyphens/>
              <w:spacing w:after="0" w:line="240" w:lineRule="auto"/>
              <w:rPr>
                <w:rFonts w:ascii="Calibri" w:eastAsiaTheme="minorEastAsia" w:hAnsi="Calibri" w:cs="Calibri"/>
                <w:kern w:val="0"/>
                <w:sz w:val="20"/>
                <w:szCs w:val="20"/>
                <w:lang w:val="en-US" w:eastAsia="es-MX"/>
                <w14:ligatures w14:val="none"/>
              </w:rPr>
            </w:pPr>
            <w:proofErr w:type="spellStart"/>
            <w:r w:rsidRPr="00E77DC6">
              <w:rPr>
                <w:rFonts w:ascii="Calibri" w:eastAsiaTheme="minorEastAsia" w:hAnsi="Calibri" w:cs="Calibri"/>
                <w:kern w:val="0"/>
                <w:sz w:val="20"/>
                <w:szCs w:val="20"/>
                <w:lang w:val="en-US" w:eastAsia="es-MX"/>
                <w14:ligatures w14:val="none"/>
              </w:rPr>
              <w:t>Período</w:t>
            </w:r>
            <w:proofErr w:type="spellEnd"/>
            <w:r w:rsidRPr="00E77DC6">
              <w:rPr>
                <w:rFonts w:ascii="Calibri" w:eastAsiaTheme="minorEastAsia" w:hAnsi="Calibri" w:cs="Calibri"/>
                <w:kern w:val="0"/>
                <w:sz w:val="20"/>
                <w:szCs w:val="20"/>
                <w:lang w:val="en-US" w:eastAsia="es-MX"/>
                <w14:ligatures w14:val="none"/>
              </w:rPr>
              <w:t xml:space="preserve"> </w:t>
            </w:r>
            <w:proofErr w:type="spellStart"/>
            <w:r w:rsidRPr="00E77DC6">
              <w:rPr>
                <w:rFonts w:ascii="Calibri" w:eastAsiaTheme="minorEastAsia" w:hAnsi="Calibri" w:cs="Calibri"/>
                <w:kern w:val="0"/>
                <w:sz w:val="20"/>
                <w:szCs w:val="20"/>
                <w:lang w:val="en-US" w:eastAsia="es-MX"/>
                <w14:ligatures w14:val="none"/>
              </w:rPr>
              <w:t>vacacional</w:t>
            </w:r>
            <w:proofErr w:type="spellEnd"/>
          </w:p>
        </w:tc>
        <w:tc>
          <w:tcPr>
            <w:tcW w:w="1276" w:type="dxa"/>
            <w:gridSpan w:val="2"/>
            <w:vAlign w:val="center"/>
          </w:tcPr>
          <w:p w14:paraId="4737B9A4"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866.387</w:t>
            </w:r>
          </w:p>
        </w:tc>
        <w:tc>
          <w:tcPr>
            <w:tcW w:w="1076" w:type="dxa"/>
            <w:vAlign w:val="center"/>
          </w:tcPr>
          <w:p w14:paraId="3FD9A617"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205.496</w:t>
            </w:r>
          </w:p>
        </w:tc>
        <w:tc>
          <w:tcPr>
            <w:tcW w:w="833" w:type="dxa"/>
            <w:gridSpan w:val="2"/>
            <w:vAlign w:val="center"/>
          </w:tcPr>
          <w:p w14:paraId="1BC58E35"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4.22</w:t>
            </w:r>
          </w:p>
        </w:tc>
        <w:tc>
          <w:tcPr>
            <w:tcW w:w="784" w:type="dxa"/>
            <w:vAlign w:val="center"/>
          </w:tcPr>
          <w:p w14:paraId="04ED5688"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0</w:t>
            </w:r>
          </w:p>
        </w:tc>
        <w:tc>
          <w:tcPr>
            <w:tcW w:w="1276" w:type="dxa"/>
            <w:gridSpan w:val="2"/>
            <w:vAlign w:val="center"/>
          </w:tcPr>
          <w:p w14:paraId="201D59A1"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450.381</w:t>
            </w:r>
          </w:p>
        </w:tc>
        <w:tc>
          <w:tcPr>
            <w:tcW w:w="1364" w:type="dxa"/>
            <w:gridSpan w:val="3"/>
            <w:vAlign w:val="center"/>
          </w:tcPr>
          <w:p w14:paraId="21042E23"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1282.392</w:t>
            </w:r>
          </w:p>
        </w:tc>
        <w:tc>
          <w:tcPr>
            <w:tcW w:w="589" w:type="dxa"/>
            <w:vAlign w:val="center"/>
          </w:tcPr>
          <w:p w14:paraId="386AB47B"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w:t>
            </w:r>
          </w:p>
        </w:tc>
      </w:tr>
      <w:tr w:rsidR="0049583F" w:rsidRPr="00E77DC6" w14:paraId="087C4BF8" w14:textId="77777777" w:rsidTr="001D1D91">
        <w:trPr>
          <w:trHeight w:val="340"/>
          <w:jc w:val="center"/>
        </w:trPr>
        <w:tc>
          <w:tcPr>
            <w:tcW w:w="2977" w:type="dxa"/>
            <w:vAlign w:val="center"/>
          </w:tcPr>
          <w:p w14:paraId="76699E6A" w14:textId="77777777" w:rsidR="0049583F" w:rsidRPr="00E77DC6" w:rsidRDefault="0049583F" w:rsidP="003D0615">
            <w:pPr>
              <w:widowControl w:val="0"/>
              <w:suppressAutoHyphens/>
              <w:spacing w:after="0" w:line="240" w:lineRule="auto"/>
              <w:rPr>
                <w:rFonts w:ascii="Calibri" w:eastAsiaTheme="minorEastAsia" w:hAnsi="Calibri" w:cs="Calibri"/>
                <w:kern w:val="0"/>
                <w:sz w:val="20"/>
                <w:szCs w:val="20"/>
                <w:lang w:val="en-US" w:eastAsia="es-MX"/>
                <w14:ligatures w14:val="none"/>
              </w:rPr>
            </w:pPr>
            <w:proofErr w:type="spellStart"/>
            <w:r w:rsidRPr="00E77DC6">
              <w:rPr>
                <w:rFonts w:ascii="Calibri" w:eastAsiaTheme="minorEastAsia" w:hAnsi="Calibri" w:cs="Calibri"/>
                <w:kern w:val="0"/>
                <w:sz w:val="20"/>
                <w:szCs w:val="20"/>
                <w:lang w:val="en-US" w:eastAsia="es-MX"/>
                <w14:ligatures w14:val="none"/>
              </w:rPr>
              <w:t>Confianza</w:t>
            </w:r>
            <w:proofErr w:type="spellEnd"/>
            <w:r w:rsidRPr="00E77DC6">
              <w:rPr>
                <w:rFonts w:ascii="Calibri" w:eastAsiaTheme="minorEastAsia" w:hAnsi="Calibri" w:cs="Calibri"/>
                <w:kern w:val="0"/>
                <w:sz w:val="20"/>
                <w:szCs w:val="20"/>
                <w:lang w:val="en-US" w:eastAsia="es-MX"/>
                <w14:ligatures w14:val="none"/>
              </w:rPr>
              <w:t xml:space="preserve"> del </w:t>
            </w:r>
            <w:proofErr w:type="spellStart"/>
            <w:r w:rsidRPr="00E77DC6">
              <w:rPr>
                <w:rFonts w:ascii="Calibri" w:eastAsiaTheme="minorEastAsia" w:hAnsi="Calibri" w:cs="Calibri"/>
                <w:kern w:val="0"/>
                <w:sz w:val="20"/>
                <w:szCs w:val="20"/>
                <w:lang w:val="en-US" w:eastAsia="es-MX"/>
                <w14:ligatures w14:val="none"/>
              </w:rPr>
              <w:t>Consumidor</w:t>
            </w:r>
            <w:proofErr w:type="spellEnd"/>
          </w:p>
        </w:tc>
        <w:tc>
          <w:tcPr>
            <w:tcW w:w="1276" w:type="dxa"/>
            <w:gridSpan w:val="2"/>
            <w:vAlign w:val="center"/>
          </w:tcPr>
          <w:p w14:paraId="4CEF2DE3"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-116.383</w:t>
            </w:r>
          </w:p>
        </w:tc>
        <w:tc>
          <w:tcPr>
            <w:tcW w:w="1076" w:type="dxa"/>
            <w:vAlign w:val="center"/>
          </w:tcPr>
          <w:p w14:paraId="0EC02E2A"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40.157</w:t>
            </w:r>
          </w:p>
        </w:tc>
        <w:tc>
          <w:tcPr>
            <w:tcW w:w="833" w:type="dxa"/>
            <w:gridSpan w:val="2"/>
            <w:vAlign w:val="center"/>
          </w:tcPr>
          <w:p w14:paraId="7DB7CCC8"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-2.90</w:t>
            </w:r>
          </w:p>
        </w:tc>
        <w:tc>
          <w:tcPr>
            <w:tcW w:w="784" w:type="dxa"/>
            <w:vAlign w:val="center"/>
          </w:tcPr>
          <w:p w14:paraId="0F381875"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.006</w:t>
            </w:r>
          </w:p>
        </w:tc>
        <w:tc>
          <w:tcPr>
            <w:tcW w:w="1276" w:type="dxa"/>
            <w:gridSpan w:val="2"/>
            <w:vAlign w:val="center"/>
          </w:tcPr>
          <w:p w14:paraId="760F0775"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-197.677</w:t>
            </w:r>
          </w:p>
        </w:tc>
        <w:tc>
          <w:tcPr>
            <w:tcW w:w="1364" w:type="dxa"/>
            <w:gridSpan w:val="3"/>
            <w:vAlign w:val="center"/>
          </w:tcPr>
          <w:p w14:paraId="399E143B"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-35.089</w:t>
            </w:r>
          </w:p>
        </w:tc>
        <w:tc>
          <w:tcPr>
            <w:tcW w:w="589" w:type="dxa"/>
            <w:vAlign w:val="center"/>
          </w:tcPr>
          <w:p w14:paraId="007AF7AD"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w:t>
            </w:r>
          </w:p>
        </w:tc>
      </w:tr>
      <w:tr w:rsidR="0049583F" w:rsidRPr="00E77DC6" w14:paraId="1A849BD4" w14:textId="77777777" w:rsidTr="001D1D91">
        <w:trPr>
          <w:trHeight w:val="340"/>
          <w:jc w:val="center"/>
        </w:trPr>
        <w:tc>
          <w:tcPr>
            <w:tcW w:w="2977" w:type="dxa"/>
            <w:vAlign w:val="center"/>
          </w:tcPr>
          <w:p w14:paraId="237B0B57" w14:textId="77777777" w:rsidR="0049583F" w:rsidRPr="00E77DC6" w:rsidRDefault="0049583F" w:rsidP="003D0615">
            <w:pPr>
              <w:widowControl w:val="0"/>
              <w:suppressAutoHyphens/>
              <w:spacing w:after="0" w:line="240" w:lineRule="auto"/>
              <w:rPr>
                <w:rFonts w:ascii="Calibri" w:eastAsiaTheme="minorEastAsia" w:hAnsi="Calibri" w:cs="Calibri"/>
                <w:kern w:val="0"/>
                <w:sz w:val="20"/>
                <w:szCs w:val="20"/>
                <w:lang w:val="en-US" w:eastAsia="es-MX"/>
                <w14:ligatures w14:val="none"/>
              </w:rPr>
            </w:pPr>
            <w:proofErr w:type="spellStart"/>
            <w:r w:rsidRPr="00E77DC6">
              <w:rPr>
                <w:rFonts w:ascii="Calibri" w:eastAsiaTheme="minorEastAsia" w:hAnsi="Calibri" w:cs="Calibri"/>
                <w:kern w:val="0"/>
                <w:sz w:val="20"/>
                <w:szCs w:val="20"/>
                <w:lang w:val="en-US" w:eastAsia="es-MX"/>
                <w14:ligatures w14:val="none"/>
              </w:rPr>
              <w:t>Inflación</w:t>
            </w:r>
            <w:proofErr w:type="spellEnd"/>
          </w:p>
        </w:tc>
        <w:tc>
          <w:tcPr>
            <w:tcW w:w="1276" w:type="dxa"/>
            <w:gridSpan w:val="2"/>
            <w:vAlign w:val="center"/>
          </w:tcPr>
          <w:p w14:paraId="426EC7F5"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-214.95</w:t>
            </w:r>
          </w:p>
        </w:tc>
        <w:tc>
          <w:tcPr>
            <w:tcW w:w="1076" w:type="dxa"/>
            <w:vAlign w:val="center"/>
          </w:tcPr>
          <w:p w14:paraId="2EF9DECE"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89.031</w:t>
            </w:r>
          </w:p>
        </w:tc>
        <w:tc>
          <w:tcPr>
            <w:tcW w:w="833" w:type="dxa"/>
            <w:gridSpan w:val="2"/>
            <w:vAlign w:val="center"/>
          </w:tcPr>
          <w:p w14:paraId="42E54A12"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-2.41</w:t>
            </w:r>
          </w:p>
        </w:tc>
        <w:tc>
          <w:tcPr>
            <w:tcW w:w="784" w:type="dxa"/>
            <w:vAlign w:val="center"/>
          </w:tcPr>
          <w:p w14:paraId="71576815"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.021</w:t>
            </w:r>
          </w:p>
        </w:tc>
        <w:tc>
          <w:tcPr>
            <w:tcW w:w="1276" w:type="dxa"/>
            <w:gridSpan w:val="2"/>
            <w:vAlign w:val="center"/>
          </w:tcPr>
          <w:p w14:paraId="4140DBC6"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-395.184</w:t>
            </w:r>
          </w:p>
        </w:tc>
        <w:tc>
          <w:tcPr>
            <w:tcW w:w="1364" w:type="dxa"/>
            <w:gridSpan w:val="3"/>
            <w:vAlign w:val="center"/>
          </w:tcPr>
          <w:p w14:paraId="703C155E"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-34.715</w:t>
            </w:r>
          </w:p>
        </w:tc>
        <w:tc>
          <w:tcPr>
            <w:tcW w:w="589" w:type="dxa"/>
            <w:vAlign w:val="center"/>
          </w:tcPr>
          <w:p w14:paraId="4C0C9A34"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w:t>
            </w:r>
          </w:p>
        </w:tc>
      </w:tr>
      <w:tr w:rsidR="0049583F" w:rsidRPr="00E77DC6" w14:paraId="4D87091D" w14:textId="77777777" w:rsidTr="001D1D91">
        <w:trPr>
          <w:trHeight w:val="340"/>
          <w:jc w:val="center"/>
        </w:trPr>
        <w:tc>
          <w:tcPr>
            <w:tcW w:w="2977" w:type="dxa"/>
            <w:tcBorders>
              <w:bottom w:val="single" w:sz="4" w:space="0" w:color="auto"/>
            </w:tcBorders>
            <w:vAlign w:val="center"/>
          </w:tcPr>
          <w:p w14:paraId="6C5ACCCF" w14:textId="77777777" w:rsidR="0049583F" w:rsidRPr="00E77DC6" w:rsidRDefault="0049583F" w:rsidP="003D0615">
            <w:pPr>
              <w:widowControl w:val="0"/>
              <w:suppressAutoHyphens/>
              <w:spacing w:after="0" w:line="240" w:lineRule="auto"/>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Constant</w:t>
            </w:r>
          </w:p>
        </w:tc>
        <w:tc>
          <w:tcPr>
            <w:tcW w:w="1276" w:type="dxa"/>
            <w:gridSpan w:val="2"/>
            <w:tcBorders>
              <w:bottom w:val="single" w:sz="4" w:space="0" w:color="auto"/>
            </w:tcBorders>
            <w:vAlign w:val="center"/>
          </w:tcPr>
          <w:p w14:paraId="72701543"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3548.278</w:t>
            </w:r>
          </w:p>
        </w:tc>
        <w:tc>
          <w:tcPr>
            <w:tcW w:w="1076" w:type="dxa"/>
            <w:tcBorders>
              <w:bottom w:val="single" w:sz="4" w:space="0" w:color="auto"/>
            </w:tcBorders>
            <w:vAlign w:val="center"/>
          </w:tcPr>
          <w:p w14:paraId="50EC931D" w14:textId="7AE654DF"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1854.84</w:t>
            </w:r>
          </w:p>
        </w:tc>
        <w:tc>
          <w:tcPr>
            <w:tcW w:w="833" w:type="dxa"/>
            <w:gridSpan w:val="2"/>
            <w:tcBorders>
              <w:bottom w:val="single" w:sz="4" w:space="0" w:color="auto"/>
            </w:tcBorders>
            <w:vAlign w:val="center"/>
          </w:tcPr>
          <w:p w14:paraId="1ED4AF68"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1.91</w:t>
            </w:r>
          </w:p>
        </w:tc>
        <w:tc>
          <w:tcPr>
            <w:tcW w:w="784" w:type="dxa"/>
            <w:tcBorders>
              <w:bottom w:val="single" w:sz="4" w:space="0" w:color="auto"/>
            </w:tcBorders>
            <w:vAlign w:val="center"/>
          </w:tcPr>
          <w:p w14:paraId="6059E386"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.063</w:t>
            </w:r>
          </w:p>
        </w:tc>
        <w:tc>
          <w:tcPr>
            <w:tcW w:w="1276" w:type="dxa"/>
            <w:gridSpan w:val="2"/>
            <w:tcBorders>
              <w:bottom w:val="single" w:sz="4" w:space="0" w:color="auto"/>
            </w:tcBorders>
            <w:vAlign w:val="center"/>
          </w:tcPr>
          <w:p w14:paraId="737A751A"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-206.665</w:t>
            </w:r>
          </w:p>
        </w:tc>
        <w:tc>
          <w:tcPr>
            <w:tcW w:w="1364" w:type="dxa"/>
            <w:gridSpan w:val="3"/>
            <w:tcBorders>
              <w:bottom w:val="single" w:sz="4" w:space="0" w:color="auto"/>
            </w:tcBorders>
            <w:vAlign w:val="center"/>
          </w:tcPr>
          <w:p w14:paraId="3BEB5617"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7303.222</w:t>
            </w:r>
          </w:p>
        </w:tc>
        <w:tc>
          <w:tcPr>
            <w:tcW w:w="589" w:type="dxa"/>
            <w:tcBorders>
              <w:bottom w:val="single" w:sz="4" w:space="0" w:color="auto"/>
            </w:tcBorders>
            <w:vAlign w:val="center"/>
          </w:tcPr>
          <w:p w14:paraId="4E527CB5" w14:textId="77777777" w:rsidR="0049583F" w:rsidRPr="00E77DC6" w:rsidRDefault="0049583F" w:rsidP="003D0615">
            <w:pPr>
              <w:widowControl w:val="0"/>
              <w:suppressAutoHyphens/>
              <w:spacing w:after="0" w:line="240" w:lineRule="auto"/>
              <w:jc w:val="right"/>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w:t>
            </w:r>
          </w:p>
        </w:tc>
      </w:tr>
      <w:tr w:rsidR="0049583F" w:rsidRPr="00E77DC6" w14:paraId="1140DA3E" w14:textId="77777777" w:rsidTr="001D1D91">
        <w:trPr>
          <w:trHeight w:val="340"/>
          <w:jc w:val="center"/>
        </w:trPr>
        <w:tc>
          <w:tcPr>
            <w:tcW w:w="3670" w:type="dxa"/>
            <w:gridSpan w:val="2"/>
            <w:tcBorders>
              <w:top w:val="single" w:sz="4" w:space="0" w:color="auto"/>
            </w:tcBorders>
            <w:vAlign w:val="center"/>
          </w:tcPr>
          <w:p w14:paraId="2D79D11A"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Mean dependent var</w:t>
            </w:r>
          </w:p>
        </w:tc>
        <w:tc>
          <w:tcPr>
            <w:tcW w:w="1713" w:type="dxa"/>
            <w:gridSpan w:val="3"/>
            <w:tcBorders>
              <w:top w:val="single" w:sz="4" w:space="0" w:color="auto"/>
            </w:tcBorders>
            <w:vAlign w:val="center"/>
          </w:tcPr>
          <w:p w14:paraId="35579223"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2180.109</w:t>
            </w:r>
          </w:p>
        </w:tc>
        <w:tc>
          <w:tcPr>
            <w:tcW w:w="2257" w:type="dxa"/>
            <w:gridSpan w:val="3"/>
            <w:tcBorders>
              <w:top w:val="single" w:sz="4" w:space="0" w:color="auto"/>
            </w:tcBorders>
            <w:vAlign w:val="center"/>
          </w:tcPr>
          <w:p w14:paraId="7B8E0B53" w14:textId="0D3ACD5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SD dependent var</w:t>
            </w:r>
          </w:p>
        </w:tc>
        <w:tc>
          <w:tcPr>
            <w:tcW w:w="1709" w:type="dxa"/>
            <w:gridSpan w:val="3"/>
            <w:tcBorders>
              <w:top w:val="single" w:sz="4" w:space="0" w:color="auto"/>
            </w:tcBorders>
            <w:vAlign w:val="center"/>
          </w:tcPr>
          <w:p w14:paraId="13555B5A"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965.622</w:t>
            </w:r>
          </w:p>
        </w:tc>
        <w:tc>
          <w:tcPr>
            <w:tcW w:w="237" w:type="dxa"/>
            <w:tcBorders>
              <w:top w:val="single" w:sz="4" w:space="0" w:color="auto"/>
            </w:tcBorders>
            <w:vAlign w:val="center"/>
          </w:tcPr>
          <w:p w14:paraId="4C9E4A43" w14:textId="77777777" w:rsidR="0049583F" w:rsidRPr="00E77DC6" w:rsidRDefault="0049583F" w:rsidP="003D0615">
            <w:pPr>
              <w:widowControl w:val="0"/>
              <w:suppressAutoHyphens/>
              <w:spacing w:after="0" w:line="240" w:lineRule="auto"/>
              <w:jc w:val="center"/>
              <w:rPr>
                <w:rFonts w:ascii="Calibri" w:hAnsi="Calibri" w:cs="Calibri"/>
                <w:kern w:val="0"/>
                <w:sz w:val="20"/>
                <w:szCs w:val="20"/>
                <w14:ligatures w14:val="none"/>
              </w:rPr>
            </w:pPr>
          </w:p>
        </w:tc>
        <w:tc>
          <w:tcPr>
            <w:tcW w:w="589" w:type="dxa"/>
            <w:tcBorders>
              <w:top w:val="single" w:sz="4" w:space="0" w:color="auto"/>
            </w:tcBorders>
            <w:vAlign w:val="center"/>
          </w:tcPr>
          <w:p w14:paraId="6F93B983" w14:textId="77777777" w:rsidR="0049583F" w:rsidRPr="00E77DC6" w:rsidRDefault="0049583F" w:rsidP="003D0615">
            <w:pPr>
              <w:widowControl w:val="0"/>
              <w:suppressAutoHyphens/>
              <w:spacing w:after="0" w:line="240" w:lineRule="auto"/>
              <w:jc w:val="center"/>
              <w:rPr>
                <w:rFonts w:ascii="Calibri" w:hAnsi="Calibri" w:cs="Calibri"/>
                <w:kern w:val="0"/>
                <w:sz w:val="20"/>
                <w:szCs w:val="20"/>
                <w14:ligatures w14:val="none"/>
              </w:rPr>
            </w:pPr>
          </w:p>
        </w:tc>
      </w:tr>
      <w:tr w:rsidR="0049583F" w:rsidRPr="00E77DC6" w14:paraId="09163931" w14:textId="77777777" w:rsidTr="001D1D91">
        <w:trPr>
          <w:trHeight w:val="340"/>
          <w:jc w:val="center"/>
        </w:trPr>
        <w:tc>
          <w:tcPr>
            <w:tcW w:w="3670" w:type="dxa"/>
            <w:gridSpan w:val="2"/>
            <w:vAlign w:val="center"/>
          </w:tcPr>
          <w:p w14:paraId="0001358C" w14:textId="23E4381B"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R-squared</w:t>
            </w:r>
          </w:p>
        </w:tc>
        <w:tc>
          <w:tcPr>
            <w:tcW w:w="1713" w:type="dxa"/>
            <w:gridSpan w:val="3"/>
            <w:vAlign w:val="center"/>
          </w:tcPr>
          <w:p w14:paraId="496FF81A"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0.596</w:t>
            </w:r>
          </w:p>
        </w:tc>
        <w:tc>
          <w:tcPr>
            <w:tcW w:w="2257" w:type="dxa"/>
            <w:gridSpan w:val="3"/>
            <w:vAlign w:val="center"/>
          </w:tcPr>
          <w:p w14:paraId="678DD8C8" w14:textId="054931D0"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 xml:space="preserve">Number of </w:t>
            </w:r>
            <w:proofErr w:type="spellStart"/>
            <w:r w:rsidRPr="00E77DC6">
              <w:rPr>
                <w:rFonts w:ascii="Calibri" w:eastAsiaTheme="minorEastAsia" w:hAnsi="Calibri" w:cs="Calibri"/>
                <w:kern w:val="0"/>
                <w:sz w:val="20"/>
                <w:szCs w:val="20"/>
                <w:lang w:val="en-US" w:eastAsia="es-MX"/>
                <w14:ligatures w14:val="none"/>
              </w:rPr>
              <w:t>obs</w:t>
            </w:r>
            <w:proofErr w:type="spellEnd"/>
          </w:p>
        </w:tc>
        <w:tc>
          <w:tcPr>
            <w:tcW w:w="1709" w:type="dxa"/>
            <w:gridSpan w:val="3"/>
            <w:vAlign w:val="center"/>
          </w:tcPr>
          <w:p w14:paraId="47C26877"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46</w:t>
            </w:r>
          </w:p>
        </w:tc>
        <w:tc>
          <w:tcPr>
            <w:tcW w:w="237" w:type="dxa"/>
            <w:vAlign w:val="center"/>
          </w:tcPr>
          <w:p w14:paraId="082E8815" w14:textId="77777777" w:rsidR="0049583F" w:rsidRPr="00E77DC6" w:rsidRDefault="0049583F" w:rsidP="003D0615">
            <w:pPr>
              <w:widowControl w:val="0"/>
              <w:suppressAutoHyphens/>
              <w:spacing w:after="0" w:line="240" w:lineRule="auto"/>
              <w:jc w:val="center"/>
              <w:rPr>
                <w:rFonts w:ascii="Calibri" w:hAnsi="Calibri" w:cs="Calibri"/>
                <w:kern w:val="0"/>
                <w:sz w:val="20"/>
                <w:szCs w:val="20"/>
                <w14:ligatures w14:val="none"/>
              </w:rPr>
            </w:pPr>
          </w:p>
        </w:tc>
        <w:tc>
          <w:tcPr>
            <w:tcW w:w="589" w:type="dxa"/>
            <w:vAlign w:val="center"/>
          </w:tcPr>
          <w:p w14:paraId="7C2741DA" w14:textId="77777777" w:rsidR="0049583F" w:rsidRPr="00E77DC6" w:rsidRDefault="0049583F" w:rsidP="003D0615">
            <w:pPr>
              <w:widowControl w:val="0"/>
              <w:suppressAutoHyphens/>
              <w:spacing w:after="0" w:line="240" w:lineRule="auto"/>
              <w:jc w:val="center"/>
              <w:rPr>
                <w:rFonts w:ascii="Calibri" w:hAnsi="Calibri" w:cs="Calibri"/>
                <w:kern w:val="0"/>
                <w:sz w:val="20"/>
                <w:szCs w:val="20"/>
                <w14:ligatures w14:val="none"/>
              </w:rPr>
            </w:pPr>
          </w:p>
        </w:tc>
      </w:tr>
      <w:tr w:rsidR="0049583F" w:rsidRPr="00E77DC6" w14:paraId="7FF9C895" w14:textId="77777777" w:rsidTr="001D1D91">
        <w:trPr>
          <w:trHeight w:val="340"/>
          <w:jc w:val="center"/>
        </w:trPr>
        <w:tc>
          <w:tcPr>
            <w:tcW w:w="3670" w:type="dxa"/>
            <w:gridSpan w:val="2"/>
            <w:vAlign w:val="center"/>
          </w:tcPr>
          <w:p w14:paraId="349CBCFB" w14:textId="6408AF68"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F-test</w:t>
            </w:r>
          </w:p>
        </w:tc>
        <w:tc>
          <w:tcPr>
            <w:tcW w:w="1713" w:type="dxa"/>
            <w:gridSpan w:val="3"/>
            <w:vAlign w:val="center"/>
          </w:tcPr>
          <w:p w14:paraId="7C0ABB27"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14.673</w:t>
            </w:r>
          </w:p>
        </w:tc>
        <w:tc>
          <w:tcPr>
            <w:tcW w:w="2257" w:type="dxa"/>
            <w:gridSpan w:val="3"/>
            <w:vAlign w:val="center"/>
          </w:tcPr>
          <w:p w14:paraId="42BABC6E" w14:textId="3C3E277C"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Prob &gt; F</w:t>
            </w:r>
          </w:p>
        </w:tc>
        <w:tc>
          <w:tcPr>
            <w:tcW w:w="1709" w:type="dxa"/>
            <w:gridSpan w:val="3"/>
            <w:vAlign w:val="center"/>
          </w:tcPr>
          <w:p w14:paraId="10DBAC25"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0.000</w:t>
            </w:r>
          </w:p>
        </w:tc>
        <w:tc>
          <w:tcPr>
            <w:tcW w:w="237" w:type="dxa"/>
            <w:vAlign w:val="center"/>
          </w:tcPr>
          <w:p w14:paraId="5667B54C" w14:textId="77777777" w:rsidR="0049583F" w:rsidRPr="00E77DC6" w:rsidRDefault="0049583F" w:rsidP="003D0615">
            <w:pPr>
              <w:widowControl w:val="0"/>
              <w:suppressAutoHyphens/>
              <w:spacing w:after="0" w:line="240" w:lineRule="auto"/>
              <w:jc w:val="center"/>
              <w:rPr>
                <w:rFonts w:ascii="Calibri" w:hAnsi="Calibri" w:cs="Calibri"/>
                <w:kern w:val="0"/>
                <w:sz w:val="20"/>
                <w:szCs w:val="20"/>
                <w14:ligatures w14:val="none"/>
              </w:rPr>
            </w:pPr>
          </w:p>
        </w:tc>
        <w:tc>
          <w:tcPr>
            <w:tcW w:w="589" w:type="dxa"/>
            <w:vAlign w:val="center"/>
          </w:tcPr>
          <w:p w14:paraId="63A304BE" w14:textId="77777777" w:rsidR="0049583F" w:rsidRPr="00E77DC6" w:rsidRDefault="0049583F" w:rsidP="003D0615">
            <w:pPr>
              <w:widowControl w:val="0"/>
              <w:suppressAutoHyphens/>
              <w:spacing w:after="0" w:line="240" w:lineRule="auto"/>
              <w:jc w:val="center"/>
              <w:rPr>
                <w:rFonts w:ascii="Calibri" w:hAnsi="Calibri" w:cs="Calibri"/>
                <w:kern w:val="0"/>
                <w:sz w:val="20"/>
                <w:szCs w:val="20"/>
                <w14:ligatures w14:val="none"/>
              </w:rPr>
            </w:pPr>
          </w:p>
        </w:tc>
      </w:tr>
      <w:tr w:rsidR="0049583F" w:rsidRPr="00E77DC6" w14:paraId="481A7CAC" w14:textId="77777777" w:rsidTr="001D1D91">
        <w:trPr>
          <w:trHeight w:val="340"/>
          <w:jc w:val="center"/>
        </w:trPr>
        <w:tc>
          <w:tcPr>
            <w:tcW w:w="3670" w:type="dxa"/>
            <w:gridSpan w:val="2"/>
            <w:vAlign w:val="center"/>
          </w:tcPr>
          <w:p w14:paraId="2C90FAFC"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Akaike crit. (AIC)</w:t>
            </w:r>
          </w:p>
        </w:tc>
        <w:tc>
          <w:tcPr>
            <w:tcW w:w="1713" w:type="dxa"/>
            <w:gridSpan w:val="3"/>
            <w:vAlign w:val="center"/>
          </w:tcPr>
          <w:p w14:paraId="50F95CF4"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736.152</w:t>
            </w:r>
          </w:p>
        </w:tc>
        <w:tc>
          <w:tcPr>
            <w:tcW w:w="2257" w:type="dxa"/>
            <w:gridSpan w:val="3"/>
            <w:vAlign w:val="center"/>
          </w:tcPr>
          <w:p w14:paraId="096FDA74"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Bayesian crit. (BIC)</w:t>
            </w:r>
          </w:p>
        </w:tc>
        <w:tc>
          <w:tcPr>
            <w:tcW w:w="1709" w:type="dxa"/>
            <w:gridSpan w:val="3"/>
            <w:vAlign w:val="center"/>
          </w:tcPr>
          <w:p w14:paraId="231C5781" w14:textId="77777777" w:rsidR="0049583F" w:rsidRPr="00E77DC6" w:rsidRDefault="0049583F" w:rsidP="003D0615">
            <w:pPr>
              <w:widowControl w:val="0"/>
              <w:suppressAutoHyphens/>
              <w:spacing w:after="0" w:line="240" w:lineRule="auto"/>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kern w:val="0"/>
                <w:sz w:val="20"/>
                <w:szCs w:val="20"/>
                <w:lang w:val="en-US" w:eastAsia="es-MX"/>
                <w14:ligatures w14:val="none"/>
              </w:rPr>
              <w:t>750.781</w:t>
            </w:r>
          </w:p>
        </w:tc>
        <w:tc>
          <w:tcPr>
            <w:tcW w:w="237" w:type="dxa"/>
            <w:vAlign w:val="center"/>
          </w:tcPr>
          <w:p w14:paraId="1155AEA8" w14:textId="77777777" w:rsidR="0049583F" w:rsidRPr="00E77DC6" w:rsidRDefault="0049583F" w:rsidP="003D0615">
            <w:pPr>
              <w:widowControl w:val="0"/>
              <w:suppressAutoHyphens/>
              <w:spacing w:after="0" w:line="240" w:lineRule="auto"/>
              <w:jc w:val="center"/>
              <w:rPr>
                <w:rFonts w:ascii="Calibri" w:hAnsi="Calibri" w:cs="Calibri"/>
                <w:kern w:val="0"/>
                <w:sz w:val="20"/>
                <w:szCs w:val="20"/>
                <w14:ligatures w14:val="none"/>
              </w:rPr>
            </w:pPr>
          </w:p>
        </w:tc>
        <w:tc>
          <w:tcPr>
            <w:tcW w:w="589" w:type="dxa"/>
            <w:vAlign w:val="center"/>
          </w:tcPr>
          <w:p w14:paraId="1F1A1EC0" w14:textId="77777777" w:rsidR="0049583F" w:rsidRPr="00E77DC6" w:rsidRDefault="0049583F" w:rsidP="003D0615">
            <w:pPr>
              <w:widowControl w:val="0"/>
              <w:suppressAutoHyphens/>
              <w:spacing w:after="0" w:line="240" w:lineRule="auto"/>
              <w:jc w:val="center"/>
              <w:rPr>
                <w:rFonts w:ascii="Calibri" w:hAnsi="Calibri" w:cs="Calibri"/>
                <w:kern w:val="0"/>
                <w:sz w:val="20"/>
                <w:szCs w:val="20"/>
                <w14:ligatures w14:val="none"/>
              </w:rPr>
            </w:pPr>
          </w:p>
        </w:tc>
      </w:tr>
      <w:tr w:rsidR="0049583F" w:rsidRPr="00E77DC6" w14:paraId="6335B271" w14:textId="77777777" w:rsidTr="001D1D91">
        <w:trPr>
          <w:trHeight w:val="340"/>
          <w:jc w:val="center"/>
        </w:trPr>
        <w:tc>
          <w:tcPr>
            <w:tcW w:w="10175" w:type="dxa"/>
            <w:gridSpan w:val="13"/>
            <w:tcBorders>
              <w:top w:val="single" w:sz="6" w:space="0" w:color="000000"/>
            </w:tcBorders>
            <w:vAlign w:val="center"/>
          </w:tcPr>
          <w:p w14:paraId="3B2DB2EB" w14:textId="58E0B1B9" w:rsidR="0049583F" w:rsidRPr="00E77DC6" w:rsidRDefault="0049583F" w:rsidP="003D0615">
            <w:pPr>
              <w:widowControl w:val="0"/>
              <w:suppressAutoHyphens/>
              <w:spacing w:after="0" w:line="240" w:lineRule="auto"/>
              <w:ind w:firstLine="709"/>
              <w:jc w:val="center"/>
              <w:rPr>
                <w:rFonts w:ascii="Calibri" w:eastAsiaTheme="minorEastAsia" w:hAnsi="Calibri" w:cs="Calibri"/>
                <w:kern w:val="0"/>
                <w:sz w:val="20"/>
                <w:szCs w:val="20"/>
                <w:lang w:val="en-US" w:eastAsia="es-MX"/>
                <w14:ligatures w14:val="none"/>
              </w:rPr>
            </w:pPr>
            <w:r w:rsidRPr="00E77DC6">
              <w:rPr>
                <w:rFonts w:ascii="Calibri" w:eastAsiaTheme="minorEastAsia" w:hAnsi="Calibri" w:cs="Calibri"/>
                <w:i/>
                <w:iCs/>
                <w:kern w:val="0"/>
                <w:sz w:val="20"/>
                <w:szCs w:val="20"/>
                <w:lang w:val="en-US" w:eastAsia="es-MX"/>
                <w14:ligatures w14:val="none"/>
              </w:rPr>
              <w:t>*** p&lt;.01, ** p&lt;.05, * p&lt;.1</w:t>
            </w:r>
            <w:r w:rsidR="002E6611" w:rsidRPr="00E77DC6">
              <w:rPr>
                <w:rFonts w:ascii="Calibri" w:eastAsiaTheme="minorEastAsia" w:hAnsi="Calibri" w:cs="Calibri"/>
                <w:i/>
                <w:iCs/>
                <w:kern w:val="0"/>
                <w:sz w:val="20"/>
                <w:szCs w:val="20"/>
                <w:lang w:val="en-US" w:eastAsia="es-MX"/>
                <w14:ligatures w14:val="none"/>
              </w:rPr>
              <w:t>0</w:t>
            </w:r>
          </w:p>
        </w:tc>
      </w:tr>
    </w:tbl>
    <w:p w14:paraId="141D6BEF" w14:textId="46E34FC5" w:rsidR="0049583F" w:rsidRPr="001D1D91" w:rsidRDefault="004B4571" w:rsidP="003D0615">
      <w:pPr>
        <w:suppressAutoHyphens/>
        <w:spacing w:line="240" w:lineRule="auto"/>
        <w:rPr>
          <w:rFonts w:ascii="Calibri" w:eastAsiaTheme="minorEastAsia" w:hAnsi="Calibri" w:cs="Calibri"/>
          <w:color w:val="000000"/>
          <w:sz w:val="20"/>
          <w:szCs w:val="20"/>
          <w14:ligatures w14:val="none"/>
        </w:rPr>
      </w:pPr>
      <w:r w:rsidRPr="001D1D91">
        <w:rPr>
          <w:rFonts w:ascii="Calibri" w:eastAsiaTheme="minorEastAsia" w:hAnsi="Calibri" w:cs="Calibri"/>
          <w:color w:val="000000"/>
          <w:sz w:val="20"/>
          <w:szCs w:val="20"/>
          <w14:ligatures w14:val="none"/>
        </w:rPr>
        <w:t>Nota</w:t>
      </w:r>
      <w:r w:rsidR="0049583F" w:rsidRPr="001D1D91">
        <w:rPr>
          <w:rFonts w:ascii="Calibri" w:eastAsiaTheme="minorEastAsia" w:hAnsi="Calibri" w:cs="Calibri"/>
          <w:color w:val="000000"/>
          <w:sz w:val="20"/>
          <w:szCs w:val="20"/>
          <w14:ligatures w14:val="none"/>
        </w:rPr>
        <w:t>: Elaboración propia.</w:t>
      </w:r>
    </w:p>
    <w:p w14:paraId="0C7218BC" w14:textId="72B67C5D" w:rsidR="003A6363" w:rsidRDefault="003A6363" w:rsidP="003D0615">
      <w:pPr>
        <w:suppressAutoHyphens/>
        <w:spacing w:line="240" w:lineRule="auto"/>
        <w:jc w:val="both"/>
        <w:rPr>
          <w:rFonts w:ascii="Calibri" w:eastAsiaTheme="minorEastAsia" w:hAnsi="Calibri" w:cs="Calibri"/>
          <w:color w:val="000000"/>
          <w:sz w:val="24"/>
          <w:szCs w:val="24"/>
          <w14:ligatures w14:val="none"/>
        </w:rPr>
      </w:pPr>
      <w:r w:rsidRPr="003A6363">
        <w:rPr>
          <w:rFonts w:ascii="Calibri" w:eastAsiaTheme="minorEastAsia" w:hAnsi="Calibri" w:cs="Calibri"/>
          <w:color w:val="000000"/>
          <w:sz w:val="24"/>
          <w:szCs w:val="24"/>
          <w14:ligatures w14:val="none"/>
        </w:rPr>
        <w:t xml:space="preserve">Así mismo, se presenta en la Tabla </w:t>
      </w:r>
      <w:r w:rsidR="0063691F">
        <w:rPr>
          <w:rFonts w:ascii="Calibri" w:eastAsiaTheme="minorEastAsia" w:hAnsi="Calibri" w:cs="Calibri"/>
          <w:color w:val="000000"/>
          <w:sz w:val="24"/>
          <w:szCs w:val="24"/>
          <w14:ligatures w14:val="none"/>
        </w:rPr>
        <w:t>7</w:t>
      </w:r>
      <w:r w:rsidRPr="003A6363">
        <w:rPr>
          <w:rFonts w:ascii="Calibri" w:eastAsiaTheme="minorEastAsia" w:hAnsi="Calibri" w:cs="Calibri"/>
          <w:color w:val="000000"/>
          <w:sz w:val="24"/>
          <w:szCs w:val="24"/>
          <w14:ligatures w14:val="none"/>
        </w:rPr>
        <w:t xml:space="preserve"> la prueba de hipótesis.</w:t>
      </w:r>
    </w:p>
    <w:p w14:paraId="609A2348" w14:textId="2EF0CE12" w:rsidR="00606B29" w:rsidRPr="0063691F" w:rsidRDefault="009B5AC1" w:rsidP="003D0615">
      <w:pPr>
        <w:suppressAutoHyphens/>
        <w:spacing w:line="240" w:lineRule="auto"/>
        <w:ind w:firstLine="709"/>
        <w:jc w:val="both"/>
        <w:rPr>
          <w:rFonts w:ascii="Calibri" w:eastAsiaTheme="minorEastAsia" w:hAnsi="Calibri" w:cs="Calibri"/>
          <w:color w:val="000000"/>
          <w:sz w:val="24"/>
          <w:szCs w:val="24"/>
          <w14:ligatures w14:val="none"/>
        </w:rPr>
      </w:pPr>
      <w:r>
        <w:rPr>
          <w:rFonts w:ascii="Calibri" w:eastAsiaTheme="minorEastAsia" w:hAnsi="Calibri" w:cs="Calibri"/>
          <w:b/>
          <w:bCs/>
          <w:color w:val="000000"/>
          <w:sz w:val="24"/>
          <w:szCs w:val="24"/>
          <w14:ligatures w14:val="none"/>
        </w:rPr>
        <w:t xml:space="preserve">Tabla </w:t>
      </w:r>
      <w:r w:rsidR="0063691F">
        <w:rPr>
          <w:rFonts w:ascii="Calibri" w:eastAsiaTheme="minorEastAsia" w:hAnsi="Calibri" w:cs="Calibri"/>
          <w:b/>
          <w:bCs/>
          <w:color w:val="000000"/>
          <w:sz w:val="24"/>
          <w:szCs w:val="24"/>
          <w14:ligatures w14:val="none"/>
        </w:rPr>
        <w:t>7</w:t>
      </w:r>
      <w:r>
        <w:rPr>
          <w:rFonts w:ascii="Calibri" w:eastAsiaTheme="minorEastAsia" w:hAnsi="Calibri" w:cs="Calibri"/>
          <w:b/>
          <w:bCs/>
          <w:color w:val="000000"/>
          <w:sz w:val="24"/>
          <w:szCs w:val="24"/>
          <w14:ligatures w14:val="none"/>
        </w:rPr>
        <w:t xml:space="preserve">. </w:t>
      </w:r>
      <w:r w:rsidRPr="0063691F">
        <w:rPr>
          <w:rFonts w:ascii="Calibri" w:eastAsiaTheme="minorEastAsia" w:hAnsi="Calibri" w:cs="Calibri"/>
          <w:color w:val="000000"/>
          <w:sz w:val="24"/>
          <w:szCs w:val="24"/>
          <w14:ligatures w14:val="none"/>
        </w:rPr>
        <w:t xml:space="preserve">Prueba de </w:t>
      </w:r>
      <w:r w:rsidR="008F362C">
        <w:rPr>
          <w:rFonts w:ascii="Calibri" w:eastAsiaTheme="minorEastAsia" w:hAnsi="Calibri" w:cs="Calibri"/>
          <w:color w:val="000000"/>
          <w:sz w:val="24"/>
          <w:szCs w:val="24"/>
          <w14:ligatures w14:val="none"/>
        </w:rPr>
        <w:t>h</w:t>
      </w:r>
      <w:r w:rsidRPr="0063691F">
        <w:rPr>
          <w:rFonts w:ascii="Calibri" w:eastAsiaTheme="minorEastAsia" w:hAnsi="Calibri" w:cs="Calibri"/>
          <w:color w:val="000000"/>
          <w:sz w:val="24"/>
          <w:szCs w:val="24"/>
          <w14:ligatures w14:val="none"/>
        </w:rPr>
        <w:t>ipótesis.</w:t>
      </w:r>
    </w:p>
    <w:tbl>
      <w:tblPr>
        <w:tblW w:w="8320" w:type="dxa"/>
        <w:tblCellMar>
          <w:left w:w="70" w:type="dxa"/>
          <w:right w:w="70" w:type="dxa"/>
        </w:tblCellMar>
        <w:tblLook w:val="04A0" w:firstRow="1" w:lastRow="0" w:firstColumn="1" w:lastColumn="0" w:noHBand="0" w:noVBand="1"/>
      </w:tblPr>
      <w:tblGrid>
        <w:gridCol w:w="1560"/>
        <w:gridCol w:w="1200"/>
        <w:gridCol w:w="1200"/>
        <w:gridCol w:w="1200"/>
        <w:gridCol w:w="1200"/>
        <w:gridCol w:w="1960"/>
      </w:tblGrid>
      <w:tr w:rsidR="00C7506A" w:rsidRPr="007C4F1A" w14:paraId="729171D2" w14:textId="77777777" w:rsidTr="004C6B94">
        <w:trPr>
          <w:trHeight w:val="20"/>
        </w:trPr>
        <w:tc>
          <w:tcPr>
            <w:tcW w:w="1560" w:type="dxa"/>
            <w:tcBorders>
              <w:top w:val="single" w:sz="8" w:space="0" w:color="000000"/>
              <w:left w:val="nil"/>
              <w:bottom w:val="single" w:sz="8" w:space="0" w:color="000000"/>
              <w:right w:val="nil"/>
            </w:tcBorders>
            <w:vAlign w:val="center"/>
            <w:hideMark/>
          </w:tcPr>
          <w:p w14:paraId="6BABD4D3" w14:textId="77777777" w:rsidR="00C7506A" w:rsidRPr="007C4F1A" w:rsidRDefault="00C7506A" w:rsidP="003D0615">
            <w:pPr>
              <w:spacing w:after="0" w:line="240" w:lineRule="auto"/>
              <w:jc w:val="center"/>
              <w:rPr>
                <w:rFonts w:ascii="Calibri" w:eastAsia="Times New Roman" w:hAnsi="Calibri" w:cs="Calibri"/>
                <w:b/>
                <w:bCs/>
                <w:color w:val="000000"/>
                <w:kern w:val="0"/>
                <w:sz w:val="20"/>
                <w:szCs w:val="20"/>
                <w:lang w:eastAsia="es-MX"/>
                <w14:ligatures w14:val="none"/>
              </w:rPr>
            </w:pPr>
            <w:r w:rsidRPr="007C4F1A">
              <w:rPr>
                <w:rFonts w:ascii="Calibri" w:eastAsia="Times New Roman" w:hAnsi="Calibri" w:cs="Calibri"/>
                <w:b/>
                <w:bCs/>
                <w:color w:val="000000"/>
                <w:kern w:val="0"/>
                <w:sz w:val="20"/>
                <w:szCs w:val="20"/>
                <w:lang w:eastAsia="es-MX"/>
                <w14:ligatures w14:val="none"/>
              </w:rPr>
              <w:t>Visitas</w:t>
            </w:r>
          </w:p>
        </w:tc>
        <w:tc>
          <w:tcPr>
            <w:tcW w:w="2400" w:type="dxa"/>
            <w:gridSpan w:val="2"/>
            <w:tcBorders>
              <w:top w:val="single" w:sz="8" w:space="0" w:color="000000"/>
              <w:left w:val="nil"/>
              <w:bottom w:val="single" w:sz="8" w:space="0" w:color="000000"/>
              <w:right w:val="nil"/>
            </w:tcBorders>
            <w:vAlign w:val="center"/>
            <w:hideMark/>
          </w:tcPr>
          <w:p w14:paraId="3A109299" w14:textId="77777777" w:rsidR="00C7506A" w:rsidRPr="007C4F1A" w:rsidRDefault="00C7506A" w:rsidP="003D0615">
            <w:pPr>
              <w:spacing w:after="0" w:line="240" w:lineRule="auto"/>
              <w:jc w:val="center"/>
              <w:rPr>
                <w:rFonts w:ascii="Calibri" w:eastAsia="Times New Roman" w:hAnsi="Calibri" w:cs="Calibri"/>
                <w:b/>
                <w:bCs/>
                <w:color w:val="000000"/>
                <w:kern w:val="0"/>
                <w:sz w:val="20"/>
                <w:szCs w:val="20"/>
                <w:lang w:eastAsia="es-MX"/>
                <w14:ligatures w14:val="none"/>
              </w:rPr>
            </w:pPr>
            <w:r w:rsidRPr="007C4F1A">
              <w:rPr>
                <w:rFonts w:ascii="Calibri" w:eastAsia="Times New Roman" w:hAnsi="Calibri" w:cs="Calibri"/>
                <w:b/>
                <w:bCs/>
                <w:color w:val="000000"/>
                <w:kern w:val="0"/>
                <w:sz w:val="20"/>
                <w:szCs w:val="20"/>
                <w:lang w:eastAsia="es-MX"/>
                <w14:ligatures w14:val="none"/>
              </w:rPr>
              <w:t xml:space="preserve"> </w:t>
            </w:r>
            <w:proofErr w:type="spellStart"/>
            <w:r w:rsidRPr="007C4F1A">
              <w:rPr>
                <w:rFonts w:ascii="Calibri" w:eastAsia="Times New Roman" w:hAnsi="Calibri" w:cs="Calibri"/>
                <w:b/>
                <w:bCs/>
                <w:color w:val="000000"/>
                <w:kern w:val="0"/>
                <w:sz w:val="20"/>
                <w:szCs w:val="20"/>
                <w:lang w:eastAsia="es-MX"/>
                <w14:ligatures w14:val="none"/>
              </w:rPr>
              <w:t>Coef</w:t>
            </w:r>
            <w:proofErr w:type="spellEnd"/>
            <w:r w:rsidRPr="007C4F1A">
              <w:rPr>
                <w:rFonts w:ascii="Calibri" w:eastAsia="Times New Roman" w:hAnsi="Calibri" w:cs="Calibri"/>
                <w:b/>
                <w:bCs/>
                <w:color w:val="000000"/>
                <w:kern w:val="0"/>
                <w:sz w:val="20"/>
                <w:szCs w:val="20"/>
                <w:lang w:eastAsia="es-MX"/>
                <w14:ligatures w14:val="none"/>
              </w:rPr>
              <w:t>.</w:t>
            </w:r>
          </w:p>
        </w:tc>
        <w:tc>
          <w:tcPr>
            <w:tcW w:w="1200" w:type="dxa"/>
            <w:tcBorders>
              <w:top w:val="single" w:sz="8" w:space="0" w:color="000000"/>
              <w:left w:val="nil"/>
              <w:bottom w:val="single" w:sz="8" w:space="0" w:color="000000"/>
              <w:right w:val="nil"/>
            </w:tcBorders>
            <w:vAlign w:val="center"/>
            <w:hideMark/>
          </w:tcPr>
          <w:p w14:paraId="28D4B972" w14:textId="77777777" w:rsidR="00C7506A" w:rsidRPr="007C4F1A" w:rsidRDefault="00C7506A" w:rsidP="003D0615">
            <w:pPr>
              <w:spacing w:after="0" w:line="240" w:lineRule="auto"/>
              <w:jc w:val="center"/>
              <w:rPr>
                <w:rFonts w:ascii="Calibri" w:eastAsia="Times New Roman" w:hAnsi="Calibri" w:cs="Calibri"/>
                <w:b/>
                <w:bCs/>
                <w:color w:val="000000"/>
                <w:kern w:val="0"/>
                <w:sz w:val="20"/>
                <w:szCs w:val="20"/>
                <w:lang w:eastAsia="es-MX"/>
                <w14:ligatures w14:val="none"/>
              </w:rPr>
            </w:pPr>
            <w:r w:rsidRPr="007C4F1A">
              <w:rPr>
                <w:rFonts w:ascii="Calibri" w:eastAsia="Times New Roman" w:hAnsi="Calibri" w:cs="Calibri"/>
                <w:b/>
                <w:bCs/>
                <w:color w:val="000000"/>
                <w:kern w:val="0"/>
                <w:sz w:val="20"/>
                <w:szCs w:val="20"/>
                <w:lang w:eastAsia="es-MX"/>
                <w14:ligatures w14:val="none"/>
              </w:rPr>
              <w:t xml:space="preserve"> p-</w:t>
            </w:r>
            <w:proofErr w:type="spellStart"/>
            <w:r w:rsidRPr="007C4F1A">
              <w:rPr>
                <w:rFonts w:ascii="Calibri" w:eastAsia="Times New Roman" w:hAnsi="Calibri" w:cs="Calibri"/>
                <w:b/>
                <w:bCs/>
                <w:color w:val="000000"/>
                <w:kern w:val="0"/>
                <w:sz w:val="20"/>
                <w:szCs w:val="20"/>
                <w:lang w:eastAsia="es-MX"/>
                <w14:ligatures w14:val="none"/>
              </w:rPr>
              <w:t>value</w:t>
            </w:r>
            <w:proofErr w:type="spellEnd"/>
          </w:p>
        </w:tc>
        <w:tc>
          <w:tcPr>
            <w:tcW w:w="1200" w:type="dxa"/>
            <w:tcBorders>
              <w:top w:val="single" w:sz="8" w:space="0" w:color="000000"/>
              <w:left w:val="nil"/>
              <w:bottom w:val="single" w:sz="8" w:space="0" w:color="000000"/>
              <w:right w:val="nil"/>
            </w:tcBorders>
            <w:vAlign w:val="center"/>
            <w:hideMark/>
          </w:tcPr>
          <w:p w14:paraId="03DB174B" w14:textId="77777777" w:rsidR="00C7506A" w:rsidRPr="007C4F1A" w:rsidRDefault="00C7506A" w:rsidP="003D0615">
            <w:pPr>
              <w:spacing w:after="0" w:line="240" w:lineRule="auto"/>
              <w:ind w:firstLine="15"/>
              <w:jc w:val="center"/>
              <w:rPr>
                <w:rFonts w:ascii="Calibri" w:eastAsia="Times New Roman" w:hAnsi="Calibri" w:cs="Calibri"/>
                <w:b/>
                <w:bCs/>
                <w:color w:val="000000"/>
                <w:kern w:val="0"/>
                <w:sz w:val="20"/>
                <w:szCs w:val="20"/>
                <w:lang w:eastAsia="es-MX"/>
                <w14:ligatures w14:val="none"/>
              </w:rPr>
            </w:pPr>
            <w:r w:rsidRPr="007C4F1A">
              <w:rPr>
                <w:rFonts w:ascii="Calibri" w:eastAsia="Times New Roman" w:hAnsi="Calibri" w:cs="Calibri"/>
                <w:b/>
                <w:bCs/>
                <w:color w:val="000000"/>
                <w:kern w:val="0"/>
                <w:sz w:val="20"/>
                <w:szCs w:val="20"/>
                <w:lang w:eastAsia="es-MX"/>
                <w14:ligatures w14:val="none"/>
              </w:rPr>
              <w:t xml:space="preserve"> </w:t>
            </w:r>
            <w:proofErr w:type="spellStart"/>
            <w:r w:rsidRPr="007C4F1A">
              <w:rPr>
                <w:rFonts w:ascii="Calibri" w:eastAsia="Times New Roman" w:hAnsi="Calibri" w:cs="Calibri"/>
                <w:b/>
                <w:bCs/>
                <w:color w:val="000000"/>
                <w:kern w:val="0"/>
                <w:sz w:val="20"/>
                <w:szCs w:val="20"/>
                <w:lang w:eastAsia="es-MX"/>
                <w14:ligatures w14:val="none"/>
              </w:rPr>
              <w:t>Sig</w:t>
            </w:r>
            <w:proofErr w:type="spellEnd"/>
          </w:p>
        </w:tc>
        <w:tc>
          <w:tcPr>
            <w:tcW w:w="1960" w:type="dxa"/>
            <w:tcBorders>
              <w:top w:val="single" w:sz="8" w:space="0" w:color="auto"/>
              <w:left w:val="nil"/>
              <w:bottom w:val="single" w:sz="8" w:space="0" w:color="auto"/>
              <w:right w:val="nil"/>
            </w:tcBorders>
            <w:noWrap/>
            <w:vAlign w:val="bottom"/>
            <w:hideMark/>
          </w:tcPr>
          <w:p w14:paraId="071959AA" w14:textId="77777777" w:rsidR="00C7506A" w:rsidRPr="007C4F1A" w:rsidRDefault="00C7506A" w:rsidP="003D0615">
            <w:pPr>
              <w:spacing w:after="0" w:line="240" w:lineRule="auto"/>
              <w:jc w:val="center"/>
              <w:rPr>
                <w:rFonts w:ascii="Calibri" w:eastAsia="Times New Roman" w:hAnsi="Calibri" w:cs="Calibri"/>
                <w:b/>
                <w:bCs/>
                <w:color w:val="000000"/>
                <w:kern w:val="0"/>
                <w:sz w:val="20"/>
                <w:szCs w:val="20"/>
                <w:lang w:eastAsia="es-MX"/>
                <w14:ligatures w14:val="none"/>
              </w:rPr>
            </w:pPr>
            <w:r w:rsidRPr="007C4F1A">
              <w:rPr>
                <w:rFonts w:ascii="Calibri" w:eastAsia="Times New Roman" w:hAnsi="Calibri" w:cs="Calibri"/>
                <w:b/>
                <w:bCs/>
                <w:color w:val="000000"/>
                <w:kern w:val="0"/>
                <w:sz w:val="20"/>
                <w:szCs w:val="20"/>
                <w:lang w:eastAsia="es-MX"/>
                <w14:ligatures w14:val="none"/>
              </w:rPr>
              <w:t>Prueba de Hipótesis</w:t>
            </w:r>
          </w:p>
        </w:tc>
      </w:tr>
      <w:tr w:rsidR="00C7506A" w:rsidRPr="007C4F1A" w14:paraId="4AE5F5A6" w14:textId="77777777" w:rsidTr="004C6B94">
        <w:trPr>
          <w:trHeight w:val="20"/>
        </w:trPr>
        <w:tc>
          <w:tcPr>
            <w:tcW w:w="1560" w:type="dxa"/>
            <w:tcBorders>
              <w:top w:val="nil"/>
              <w:left w:val="nil"/>
              <w:bottom w:val="nil"/>
              <w:right w:val="nil"/>
            </w:tcBorders>
            <w:vAlign w:val="center"/>
            <w:hideMark/>
          </w:tcPr>
          <w:p w14:paraId="50C885CA" w14:textId="77777777"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COVID</w:t>
            </w:r>
          </w:p>
        </w:tc>
        <w:tc>
          <w:tcPr>
            <w:tcW w:w="2400" w:type="dxa"/>
            <w:gridSpan w:val="2"/>
            <w:tcBorders>
              <w:top w:val="single" w:sz="8" w:space="0" w:color="000000"/>
              <w:left w:val="nil"/>
              <w:bottom w:val="nil"/>
              <w:right w:val="nil"/>
            </w:tcBorders>
            <w:vAlign w:val="center"/>
            <w:hideMark/>
          </w:tcPr>
          <w:p w14:paraId="37C18401"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-1313.284</w:t>
            </w:r>
          </w:p>
        </w:tc>
        <w:tc>
          <w:tcPr>
            <w:tcW w:w="1200" w:type="dxa"/>
            <w:tcBorders>
              <w:top w:val="nil"/>
              <w:left w:val="nil"/>
              <w:bottom w:val="nil"/>
              <w:right w:val="nil"/>
            </w:tcBorders>
            <w:vAlign w:val="center"/>
            <w:hideMark/>
          </w:tcPr>
          <w:p w14:paraId="15F1EA3D"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0.001</w:t>
            </w:r>
          </w:p>
        </w:tc>
        <w:tc>
          <w:tcPr>
            <w:tcW w:w="1200" w:type="dxa"/>
            <w:tcBorders>
              <w:top w:val="nil"/>
              <w:left w:val="nil"/>
              <w:bottom w:val="nil"/>
              <w:right w:val="nil"/>
            </w:tcBorders>
            <w:vAlign w:val="center"/>
            <w:hideMark/>
          </w:tcPr>
          <w:p w14:paraId="7CB3F1C2"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w:t>
            </w:r>
          </w:p>
        </w:tc>
        <w:tc>
          <w:tcPr>
            <w:tcW w:w="1960" w:type="dxa"/>
            <w:tcBorders>
              <w:top w:val="nil"/>
              <w:left w:val="nil"/>
              <w:bottom w:val="nil"/>
              <w:right w:val="nil"/>
            </w:tcBorders>
            <w:noWrap/>
            <w:vAlign w:val="bottom"/>
            <w:hideMark/>
          </w:tcPr>
          <w:p w14:paraId="1E4EAA3F"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Se rechaza H0</w:t>
            </w:r>
          </w:p>
        </w:tc>
      </w:tr>
      <w:tr w:rsidR="00C7506A" w:rsidRPr="007C4F1A" w14:paraId="17DEF0EF" w14:textId="77777777" w:rsidTr="004C6B94">
        <w:trPr>
          <w:trHeight w:val="20"/>
        </w:trPr>
        <w:tc>
          <w:tcPr>
            <w:tcW w:w="1560" w:type="dxa"/>
            <w:tcBorders>
              <w:top w:val="nil"/>
              <w:left w:val="nil"/>
              <w:bottom w:val="nil"/>
              <w:right w:val="nil"/>
            </w:tcBorders>
            <w:vAlign w:val="center"/>
            <w:hideMark/>
          </w:tcPr>
          <w:p w14:paraId="730DB512" w14:textId="606C300A"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 xml:space="preserve">PIB </w:t>
            </w:r>
            <w:r w:rsidR="00280740" w:rsidRPr="007C4F1A">
              <w:rPr>
                <w:rFonts w:ascii="Calibri" w:eastAsia="Times New Roman" w:hAnsi="Calibri" w:cs="Calibri"/>
                <w:color w:val="000000"/>
                <w:kern w:val="0"/>
                <w:sz w:val="20"/>
                <w:szCs w:val="20"/>
                <w:lang w:eastAsia="es-MX"/>
                <w14:ligatures w14:val="none"/>
              </w:rPr>
              <w:t>t</w:t>
            </w:r>
            <w:r w:rsidRPr="007C4F1A">
              <w:rPr>
                <w:rFonts w:ascii="Calibri" w:eastAsia="Times New Roman" w:hAnsi="Calibri" w:cs="Calibri"/>
                <w:color w:val="000000"/>
                <w:kern w:val="0"/>
                <w:sz w:val="20"/>
                <w:szCs w:val="20"/>
                <w:lang w:eastAsia="es-MX"/>
                <w14:ligatures w14:val="none"/>
              </w:rPr>
              <w:t>urístico</w:t>
            </w:r>
          </w:p>
        </w:tc>
        <w:tc>
          <w:tcPr>
            <w:tcW w:w="2400" w:type="dxa"/>
            <w:gridSpan w:val="2"/>
            <w:tcBorders>
              <w:top w:val="nil"/>
              <w:left w:val="nil"/>
              <w:bottom w:val="nil"/>
              <w:right w:val="nil"/>
            </w:tcBorders>
            <w:vAlign w:val="center"/>
            <w:hideMark/>
          </w:tcPr>
          <w:p w14:paraId="6FE87696"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34.151</w:t>
            </w:r>
          </w:p>
        </w:tc>
        <w:tc>
          <w:tcPr>
            <w:tcW w:w="1200" w:type="dxa"/>
            <w:tcBorders>
              <w:top w:val="nil"/>
              <w:left w:val="nil"/>
              <w:bottom w:val="nil"/>
              <w:right w:val="nil"/>
            </w:tcBorders>
            <w:vAlign w:val="center"/>
            <w:hideMark/>
          </w:tcPr>
          <w:p w14:paraId="441A4CDB"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0.029</w:t>
            </w:r>
          </w:p>
        </w:tc>
        <w:tc>
          <w:tcPr>
            <w:tcW w:w="1200" w:type="dxa"/>
            <w:tcBorders>
              <w:top w:val="nil"/>
              <w:left w:val="nil"/>
              <w:bottom w:val="nil"/>
              <w:right w:val="nil"/>
            </w:tcBorders>
            <w:vAlign w:val="center"/>
            <w:hideMark/>
          </w:tcPr>
          <w:p w14:paraId="40034AD8"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w:t>
            </w:r>
          </w:p>
        </w:tc>
        <w:tc>
          <w:tcPr>
            <w:tcW w:w="1960" w:type="dxa"/>
            <w:tcBorders>
              <w:top w:val="nil"/>
              <w:left w:val="nil"/>
              <w:bottom w:val="nil"/>
              <w:right w:val="nil"/>
            </w:tcBorders>
            <w:noWrap/>
            <w:vAlign w:val="bottom"/>
            <w:hideMark/>
          </w:tcPr>
          <w:p w14:paraId="595B1FC7"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Se rechaza H0</w:t>
            </w:r>
          </w:p>
        </w:tc>
      </w:tr>
      <w:tr w:rsidR="00C7506A" w:rsidRPr="007C4F1A" w14:paraId="0182E626" w14:textId="77777777" w:rsidTr="004C6B94">
        <w:trPr>
          <w:trHeight w:val="20"/>
        </w:trPr>
        <w:tc>
          <w:tcPr>
            <w:tcW w:w="1560" w:type="dxa"/>
            <w:tcBorders>
              <w:top w:val="nil"/>
              <w:left w:val="nil"/>
              <w:bottom w:val="nil"/>
              <w:right w:val="nil"/>
            </w:tcBorders>
            <w:vAlign w:val="center"/>
            <w:hideMark/>
          </w:tcPr>
          <w:p w14:paraId="5ECDB9EB" w14:textId="77777777"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Riesgo País</w:t>
            </w:r>
          </w:p>
        </w:tc>
        <w:tc>
          <w:tcPr>
            <w:tcW w:w="2400" w:type="dxa"/>
            <w:gridSpan w:val="2"/>
            <w:tcBorders>
              <w:top w:val="nil"/>
              <w:left w:val="nil"/>
              <w:bottom w:val="nil"/>
              <w:right w:val="nil"/>
            </w:tcBorders>
            <w:vAlign w:val="center"/>
            <w:hideMark/>
          </w:tcPr>
          <w:p w14:paraId="156255F3"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-0.668</w:t>
            </w:r>
          </w:p>
        </w:tc>
        <w:tc>
          <w:tcPr>
            <w:tcW w:w="1200" w:type="dxa"/>
            <w:tcBorders>
              <w:top w:val="nil"/>
              <w:left w:val="nil"/>
              <w:bottom w:val="nil"/>
              <w:right w:val="nil"/>
            </w:tcBorders>
            <w:vAlign w:val="center"/>
            <w:hideMark/>
          </w:tcPr>
          <w:p w14:paraId="7887FC21"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0.862</w:t>
            </w:r>
          </w:p>
        </w:tc>
        <w:tc>
          <w:tcPr>
            <w:tcW w:w="1200" w:type="dxa"/>
            <w:tcBorders>
              <w:top w:val="nil"/>
              <w:left w:val="nil"/>
              <w:bottom w:val="nil"/>
              <w:right w:val="nil"/>
            </w:tcBorders>
            <w:vAlign w:val="center"/>
            <w:hideMark/>
          </w:tcPr>
          <w:p w14:paraId="13E06851"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p>
        </w:tc>
        <w:tc>
          <w:tcPr>
            <w:tcW w:w="1960" w:type="dxa"/>
            <w:tcBorders>
              <w:top w:val="nil"/>
              <w:left w:val="nil"/>
              <w:bottom w:val="nil"/>
              <w:right w:val="nil"/>
            </w:tcBorders>
            <w:noWrap/>
            <w:vAlign w:val="bottom"/>
            <w:hideMark/>
          </w:tcPr>
          <w:p w14:paraId="230E9550"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No se rechaza H0</w:t>
            </w:r>
          </w:p>
        </w:tc>
      </w:tr>
      <w:tr w:rsidR="00C7506A" w:rsidRPr="007C4F1A" w14:paraId="6216B063" w14:textId="77777777" w:rsidTr="004C6B94">
        <w:trPr>
          <w:trHeight w:val="20"/>
        </w:trPr>
        <w:tc>
          <w:tcPr>
            <w:tcW w:w="1560" w:type="dxa"/>
            <w:tcBorders>
              <w:top w:val="nil"/>
              <w:left w:val="nil"/>
              <w:bottom w:val="nil"/>
              <w:right w:val="nil"/>
            </w:tcBorders>
            <w:vAlign w:val="center"/>
            <w:hideMark/>
          </w:tcPr>
          <w:p w14:paraId="15C3E93E" w14:textId="6BA05272"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 xml:space="preserve">Patrimonio </w:t>
            </w:r>
            <w:r w:rsidR="00CF3BC4" w:rsidRPr="007C4F1A">
              <w:rPr>
                <w:rFonts w:ascii="Calibri" w:eastAsia="Times New Roman" w:hAnsi="Calibri" w:cs="Calibri"/>
                <w:color w:val="000000"/>
                <w:kern w:val="0"/>
                <w:sz w:val="20"/>
                <w:szCs w:val="20"/>
                <w:lang w:eastAsia="es-MX"/>
                <w14:ligatures w14:val="none"/>
              </w:rPr>
              <w:t>M</w:t>
            </w:r>
            <w:r w:rsidR="001722A6" w:rsidRPr="007C4F1A">
              <w:rPr>
                <w:rFonts w:ascii="Calibri" w:eastAsia="Times New Roman" w:hAnsi="Calibri" w:cs="Calibri"/>
                <w:color w:val="000000"/>
                <w:kern w:val="0"/>
                <w:sz w:val="20"/>
                <w:szCs w:val="20"/>
                <w:lang w:eastAsia="es-MX"/>
                <w14:ligatures w14:val="none"/>
              </w:rPr>
              <w:t>undial</w:t>
            </w:r>
          </w:p>
        </w:tc>
        <w:tc>
          <w:tcPr>
            <w:tcW w:w="2400" w:type="dxa"/>
            <w:gridSpan w:val="2"/>
            <w:tcBorders>
              <w:top w:val="nil"/>
              <w:left w:val="nil"/>
              <w:bottom w:val="nil"/>
              <w:right w:val="nil"/>
            </w:tcBorders>
            <w:vAlign w:val="center"/>
            <w:hideMark/>
          </w:tcPr>
          <w:p w14:paraId="17D7B429"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88.459</w:t>
            </w:r>
          </w:p>
        </w:tc>
        <w:tc>
          <w:tcPr>
            <w:tcW w:w="1200" w:type="dxa"/>
            <w:tcBorders>
              <w:top w:val="nil"/>
              <w:left w:val="nil"/>
              <w:bottom w:val="nil"/>
              <w:right w:val="nil"/>
            </w:tcBorders>
            <w:vAlign w:val="center"/>
            <w:hideMark/>
          </w:tcPr>
          <w:p w14:paraId="4927568F"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0.803</w:t>
            </w:r>
          </w:p>
        </w:tc>
        <w:tc>
          <w:tcPr>
            <w:tcW w:w="1200" w:type="dxa"/>
            <w:tcBorders>
              <w:top w:val="nil"/>
              <w:left w:val="nil"/>
              <w:bottom w:val="nil"/>
              <w:right w:val="nil"/>
            </w:tcBorders>
            <w:vAlign w:val="center"/>
            <w:hideMark/>
          </w:tcPr>
          <w:p w14:paraId="05307CFD"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p>
        </w:tc>
        <w:tc>
          <w:tcPr>
            <w:tcW w:w="1960" w:type="dxa"/>
            <w:tcBorders>
              <w:top w:val="nil"/>
              <w:left w:val="nil"/>
              <w:bottom w:val="nil"/>
              <w:right w:val="nil"/>
            </w:tcBorders>
            <w:noWrap/>
            <w:vAlign w:val="bottom"/>
            <w:hideMark/>
          </w:tcPr>
          <w:p w14:paraId="3037A737"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No se rechaza H0</w:t>
            </w:r>
          </w:p>
        </w:tc>
      </w:tr>
      <w:tr w:rsidR="00C7506A" w:rsidRPr="007C4F1A" w14:paraId="078008C3" w14:textId="77777777" w:rsidTr="004C6B94">
        <w:trPr>
          <w:trHeight w:val="20"/>
        </w:trPr>
        <w:tc>
          <w:tcPr>
            <w:tcW w:w="1560" w:type="dxa"/>
            <w:tcBorders>
              <w:top w:val="nil"/>
              <w:left w:val="nil"/>
              <w:bottom w:val="nil"/>
              <w:right w:val="nil"/>
            </w:tcBorders>
            <w:vAlign w:val="center"/>
            <w:hideMark/>
          </w:tcPr>
          <w:p w14:paraId="1B79A3C7" w14:textId="77777777"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Período vacacional</w:t>
            </w:r>
          </w:p>
        </w:tc>
        <w:tc>
          <w:tcPr>
            <w:tcW w:w="2400" w:type="dxa"/>
            <w:gridSpan w:val="2"/>
            <w:tcBorders>
              <w:top w:val="nil"/>
              <w:left w:val="nil"/>
              <w:bottom w:val="nil"/>
              <w:right w:val="nil"/>
            </w:tcBorders>
            <w:vAlign w:val="center"/>
            <w:hideMark/>
          </w:tcPr>
          <w:p w14:paraId="248CCCA8"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866.387</w:t>
            </w:r>
          </w:p>
        </w:tc>
        <w:tc>
          <w:tcPr>
            <w:tcW w:w="1200" w:type="dxa"/>
            <w:tcBorders>
              <w:top w:val="nil"/>
              <w:left w:val="nil"/>
              <w:bottom w:val="nil"/>
              <w:right w:val="nil"/>
            </w:tcBorders>
            <w:vAlign w:val="center"/>
            <w:hideMark/>
          </w:tcPr>
          <w:p w14:paraId="489407D2"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0</w:t>
            </w:r>
          </w:p>
        </w:tc>
        <w:tc>
          <w:tcPr>
            <w:tcW w:w="1200" w:type="dxa"/>
            <w:tcBorders>
              <w:top w:val="nil"/>
              <w:left w:val="nil"/>
              <w:bottom w:val="nil"/>
              <w:right w:val="nil"/>
            </w:tcBorders>
            <w:vAlign w:val="center"/>
            <w:hideMark/>
          </w:tcPr>
          <w:p w14:paraId="71FCE55E"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w:t>
            </w:r>
          </w:p>
        </w:tc>
        <w:tc>
          <w:tcPr>
            <w:tcW w:w="1960" w:type="dxa"/>
            <w:tcBorders>
              <w:top w:val="nil"/>
              <w:left w:val="nil"/>
              <w:bottom w:val="nil"/>
              <w:right w:val="nil"/>
            </w:tcBorders>
            <w:noWrap/>
            <w:vAlign w:val="bottom"/>
            <w:hideMark/>
          </w:tcPr>
          <w:p w14:paraId="0DF83E70"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Se rechaza H0</w:t>
            </w:r>
          </w:p>
        </w:tc>
      </w:tr>
      <w:tr w:rsidR="00C7506A" w:rsidRPr="007C4F1A" w14:paraId="50096BF0" w14:textId="77777777" w:rsidTr="004C6B94">
        <w:trPr>
          <w:trHeight w:val="20"/>
        </w:trPr>
        <w:tc>
          <w:tcPr>
            <w:tcW w:w="1560" w:type="dxa"/>
            <w:tcBorders>
              <w:top w:val="nil"/>
              <w:left w:val="nil"/>
              <w:bottom w:val="nil"/>
              <w:right w:val="nil"/>
            </w:tcBorders>
            <w:vAlign w:val="center"/>
            <w:hideMark/>
          </w:tcPr>
          <w:p w14:paraId="55DCCB8C" w14:textId="77777777"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Confianza del Consumidor</w:t>
            </w:r>
          </w:p>
        </w:tc>
        <w:tc>
          <w:tcPr>
            <w:tcW w:w="2400" w:type="dxa"/>
            <w:gridSpan w:val="2"/>
            <w:tcBorders>
              <w:top w:val="nil"/>
              <w:left w:val="nil"/>
              <w:bottom w:val="nil"/>
              <w:right w:val="nil"/>
            </w:tcBorders>
            <w:vAlign w:val="center"/>
            <w:hideMark/>
          </w:tcPr>
          <w:p w14:paraId="1279A83B"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-116.383</w:t>
            </w:r>
          </w:p>
        </w:tc>
        <w:tc>
          <w:tcPr>
            <w:tcW w:w="1200" w:type="dxa"/>
            <w:tcBorders>
              <w:top w:val="nil"/>
              <w:left w:val="nil"/>
              <w:bottom w:val="nil"/>
              <w:right w:val="nil"/>
            </w:tcBorders>
            <w:vAlign w:val="center"/>
            <w:hideMark/>
          </w:tcPr>
          <w:p w14:paraId="6037A843"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0.006</w:t>
            </w:r>
          </w:p>
        </w:tc>
        <w:tc>
          <w:tcPr>
            <w:tcW w:w="1200" w:type="dxa"/>
            <w:tcBorders>
              <w:top w:val="nil"/>
              <w:left w:val="nil"/>
              <w:bottom w:val="nil"/>
              <w:right w:val="nil"/>
            </w:tcBorders>
            <w:vAlign w:val="center"/>
            <w:hideMark/>
          </w:tcPr>
          <w:p w14:paraId="523F0175"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w:t>
            </w:r>
          </w:p>
        </w:tc>
        <w:tc>
          <w:tcPr>
            <w:tcW w:w="1960" w:type="dxa"/>
            <w:tcBorders>
              <w:top w:val="nil"/>
              <w:left w:val="nil"/>
              <w:bottom w:val="nil"/>
              <w:right w:val="nil"/>
            </w:tcBorders>
            <w:noWrap/>
            <w:vAlign w:val="bottom"/>
            <w:hideMark/>
          </w:tcPr>
          <w:p w14:paraId="5627CDA7"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Se rechaza H0</w:t>
            </w:r>
          </w:p>
        </w:tc>
      </w:tr>
      <w:tr w:rsidR="00C7506A" w:rsidRPr="007C4F1A" w14:paraId="73F10BEF" w14:textId="77777777" w:rsidTr="004C6B94">
        <w:trPr>
          <w:trHeight w:val="20"/>
        </w:trPr>
        <w:tc>
          <w:tcPr>
            <w:tcW w:w="1560" w:type="dxa"/>
            <w:tcBorders>
              <w:top w:val="nil"/>
              <w:left w:val="nil"/>
              <w:bottom w:val="nil"/>
              <w:right w:val="nil"/>
            </w:tcBorders>
            <w:vAlign w:val="center"/>
            <w:hideMark/>
          </w:tcPr>
          <w:p w14:paraId="147EC216" w14:textId="77777777"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Inflación</w:t>
            </w:r>
          </w:p>
        </w:tc>
        <w:tc>
          <w:tcPr>
            <w:tcW w:w="2400" w:type="dxa"/>
            <w:gridSpan w:val="2"/>
            <w:tcBorders>
              <w:top w:val="nil"/>
              <w:left w:val="nil"/>
              <w:bottom w:val="nil"/>
              <w:right w:val="nil"/>
            </w:tcBorders>
            <w:vAlign w:val="center"/>
            <w:hideMark/>
          </w:tcPr>
          <w:p w14:paraId="5DE88F0C"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-214.95</w:t>
            </w:r>
          </w:p>
        </w:tc>
        <w:tc>
          <w:tcPr>
            <w:tcW w:w="1200" w:type="dxa"/>
            <w:tcBorders>
              <w:top w:val="nil"/>
              <w:left w:val="nil"/>
              <w:bottom w:val="nil"/>
              <w:right w:val="nil"/>
            </w:tcBorders>
            <w:vAlign w:val="center"/>
            <w:hideMark/>
          </w:tcPr>
          <w:p w14:paraId="3DC49D05"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0.021</w:t>
            </w:r>
          </w:p>
        </w:tc>
        <w:tc>
          <w:tcPr>
            <w:tcW w:w="1200" w:type="dxa"/>
            <w:tcBorders>
              <w:top w:val="nil"/>
              <w:left w:val="nil"/>
              <w:bottom w:val="nil"/>
              <w:right w:val="nil"/>
            </w:tcBorders>
            <w:vAlign w:val="center"/>
            <w:hideMark/>
          </w:tcPr>
          <w:p w14:paraId="3AC8A49B"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w:t>
            </w:r>
          </w:p>
        </w:tc>
        <w:tc>
          <w:tcPr>
            <w:tcW w:w="1960" w:type="dxa"/>
            <w:tcBorders>
              <w:top w:val="nil"/>
              <w:left w:val="nil"/>
              <w:bottom w:val="nil"/>
              <w:right w:val="nil"/>
            </w:tcBorders>
            <w:noWrap/>
            <w:vAlign w:val="bottom"/>
            <w:hideMark/>
          </w:tcPr>
          <w:p w14:paraId="3E5F9557"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Se rechaza H0</w:t>
            </w:r>
          </w:p>
        </w:tc>
      </w:tr>
      <w:tr w:rsidR="00C7506A" w:rsidRPr="007C4F1A" w14:paraId="70EB88B9" w14:textId="77777777" w:rsidTr="004C6B94">
        <w:trPr>
          <w:trHeight w:val="20"/>
        </w:trPr>
        <w:tc>
          <w:tcPr>
            <w:tcW w:w="1560" w:type="dxa"/>
            <w:tcBorders>
              <w:top w:val="nil"/>
              <w:left w:val="nil"/>
              <w:bottom w:val="single" w:sz="8" w:space="0" w:color="auto"/>
              <w:right w:val="nil"/>
            </w:tcBorders>
            <w:vAlign w:val="center"/>
            <w:hideMark/>
          </w:tcPr>
          <w:p w14:paraId="0163CE28" w14:textId="77777777"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proofErr w:type="spellStart"/>
            <w:r w:rsidRPr="007C4F1A">
              <w:rPr>
                <w:rFonts w:ascii="Calibri" w:eastAsia="Times New Roman" w:hAnsi="Calibri" w:cs="Calibri"/>
                <w:color w:val="000000"/>
                <w:kern w:val="0"/>
                <w:sz w:val="20"/>
                <w:szCs w:val="20"/>
                <w:lang w:eastAsia="es-MX"/>
                <w14:ligatures w14:val="none"/>
              </w:rPr>
              <w:t>Constant</w:t>
            </w:r>
            <w:proofErr w:type="spellEnd"/>
          </w:p>
        </w:tc>
        <w:tc>
          <w:tcPr>
            <w:tcW w:w="2400" w:type="dxa"/>
            <w:gridSpan w:val="2"/>
            <w:tcBorders>
              <w:top w:val="nil"/>
              <w:left w:val="nil"/>
              <w:bottom w:val="single" w:sz="8" w:space="0" w:color="auto"/>
              <w:right w:val="nil"/>
            </w:tcBorders>
            <w:vAlign w:val="center"/>
            <w:hideMark/>
          </w:tcPr>
          <w:p w14:paraId="6CE89198"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3548.278</w:t>
            </w:r>
          </w:p>
        </w:tc>
        <w:tc>
          <w:tcPr>
            <w:tcW w:w="1200" w:type="dxa"/>
            <w:tcBorders>
              <w:top w:val="nil"/>
              <w:left w:val="nil"/>
              <w:bottom w:val="single" w:sz="8" w:space="0" w:color="auto"/>
              <w:right w:val="nil"/>
            </w:tcBorders>
            <w:vAlign w:val="center"/>
            <w:hideMark/>
          </w:tcPr>
          <w:p w14:paraId="312675D9"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0.063</w:t>
            </w:r>
          </w:p>
        </w:tc>
        <w:tc>
          <w:tcPr>
            <w:tcW w:w="1200" w:type="dxa"/>
            <w:tcBorders>
              <w:top w:val="nil"/>
              <w:left w:val="nil"/>
              <w:bottom w:val="single" w:sz="8" w:space="0" w:color="auto"/>
              <w:right w:val="nil"/>
            </w:tcBorders>
            <w:vAlign w:val="center"/>
            <w:hideMark/>
          </w:tcPr>
          <w:p w14:paraId="2B83CDFD"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w:t>
            </w:r>
          </w:p>
        </w:tc>
        <w:tc>
          <w:tcPr>
            <w:tcW w:w="1960" w:type="dxa"/>
            <w:tcBorders>
              <w:top w:val="nil"/>
              <w:left w:val="nil"/>
              <w:bottom w:val="single" w:sz="8" w:space="0" w:color="auto"/>
              <w:right w:val="nil"/>
            </w:tcBorders>
            <w:noWrap/>
            <w:vAlign w:val="bottom"/>
            <w:hideMark/>
          </w:tcPr>
          <w:p w14:paraId="7A8239AD" w14:textId="77777777" w:rsidR="00C7506A" w:rsidRPr="007C4F1A" w:rsidRDefault="00C7506A" w:rsidP="003D0615">
            <w:pPr>
              <w:spacing w:after="0" w:line="240" w:lineRule="auto"/>
              <w:jc w:val="center"/>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 </w:t>
            </w:r>
          </w:p>
        </w:tc>
      </w:tr>
      <w:tr w:rsidR="00C7506A" w:rsidRPr="007C4F1A" w14:paraId="00E2D197" w14:textId="77777777" w:rsidTr="004C6B94">
        <w:trPr>
          <w:trHeight w:val="20"/>
        </w:trPr>
        <w:tc>
          <w:tcPr>
            <w:tcW w:w="2760" w:type="dxa"/>
            <w:gridSpan w:val="2"/>
            <w:tcBorders>
              <w:top w:val="single" w:sz="8" w:space="0" w:color="000000"/>
              <w:left w:val="nil"/>
              <w:bottom w:val="nil"/>
              <w:right w:val="nil"/>
            </w:tcBorders>
            <w:vAlign w:val="center"/>
            <w:hideMark/>
          </w:tcPr>
          <w:p w14:paraId="16E90A2F" w14:textId="77777777"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 xml:space="preserve">Mean </w:t>
            </w:r>
            <w:proofErr w:type="spellStart"/>
            <w:r w:rsidRPr="007C4F1A">
              <w:rPr>
                <w:rFonts w:ascii="Calibri" w:eastAsia="Times New Roman" w:hAnsi="Calibri" w:cs="Calibri"/>
                <w:color w:val="000000"/>
                <w:kern w:val="0"/>
                <w:sz w:val="20"/>
                <w:szCs w:val="20"/>
                <w:lang w:eastAsia="es-MX"/>
                <w14:ligatures w14:val="none"/>
              </w:rPr>
              <w:t>dependent</w:t>
            </w:r>
            <w:proofErr w:type="spellEnd"/>
            <w:r w:rsidRPr="007C4F1A">
              <w:rPr>
                <w:rFonts w:ascii="Calibri" w:eastAsia="Times New Roman" w:hAnsi="Calibri" w:cs="Calibri"/>
                <w:color w:val="000000"/>
                <w:kern w:val="0"/>
                <w:sz w:val="20"/>
                <w:szCs w:val="20"/>
                <w:lang w:eastAsia="es-MX"/>
                <w14:ligatures w14:val="none"/>
              </w:rPr>
              <w:t xml:space="preserve"> </w:t>
            </w:r>
            <w:proofErr w:type="spellStart"/>
            <w:r w:rsidRPr="007C4F1A">
              <w:rPr>
                <w:rFonts w:ascii="Calibri" w:eastAsia="Times New Roman" w:hAnsi="Calibri" w:cs="Calibri"/>
                <w:color w:val="000000"/>
                <w:kern w:val="0"/>
                <w:sz w:val="20"/>
                <w:szCs w:val="20"/>
                <w:lang w:eastAsia="es-MX"/>
                <w14:ligatures w14:val="none"/>
              </w:rPr>
              <w:t>var</w:t>
            </w:r>
            <w:proofErr w:type="spellEnd"/>
          </w:p>
        </w:tc>
        <w:tc>
          <w:tcPr>
            <w:tcW w:w="1200" w:type="dxa"/>
            <w:tcBorders>
              <w:top w:val="nil"/>
              <w:left w:val="nil"/>
              <w:bottom w:val="nil"/>
              <w:right w:val="nil"/>
            </w:tcBorders>
            <w:vAlign w:val="center"/>
            <w:hideMark/>
          </w:tcPr>
          <w:p w14:paraId="053872FC" w14:textId="77777777" w:rsidR="00C7506A" w:rsidRPr="007C4F1A" w:rsidRDefault="00C7506A" w:rsidP="003D0615">
            <w:pPr>
              <w:spacing w:after="0" w:line="240" w:lineRule="auto"/>
              <w:jc w:val="right"/>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2180.109</w:t>
            </w:r>
          </w:p>
        </w:tc>
        <w:tc>
          <w:tcPr>
            <w:tcW w:w="1200" w:type="dxa"/>
            <w:tcBorders>
              <w:top w:val="nil"/>
              <w:left w:val="nil"/>
              <w:bottom w:val="nil"/>
              <w:right w:val="nil"/>
            </w:tcBorders>
            <w:vAlign w:val="center"/>
            <w:hideMark/>
          </w:tcPr>
          <w:p w14:paraId="619FF314" w14:textId="77777777" w:rsidR="00C7506A" w:rsidRPr="007C4F1A" w:rsidRDefault="00C7506A" w:rsidP="003D0615">
            <w:pPr>
              <w:spacing w:after="0" w:line="240" w:lineRule="auto"/>
              <w:ind w:firstLine="709"/>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 </w:t>
            </w:r>
          </w:p>
        </w:tc>
        <w:tc>
          <w:tcPr>
            <w:tcW w:w="1200" w:type="dxa"/>
            <w:tcBorders>
              <w:top w:val="nil"/>
              <w:left w:val="nil"/>
              <w:bottom w:val="nil"/>
              <w:right w:val="nil"/>
            </w:tcBorders>
            <w:vAlign w:val="center"/>
            <w:hideMark/>
          </w:tcPr>
          <w:p w14:paraId="503D35AF" w14:textId="77777777" w:rsidR="00C7506A" w:rsidRPr="007C4F1A" w:rsidRDefault="00C7506A" w:rsidP="003D0615">
            <w:pPr>
              <w:spacing w:after="0" w:line="240" w:lineRule="auto"/>
              <w:ind w:firstLine="709"/>
              <w:rPr>
                <w:rFonts w:ascii="Calibri" w:eastAsia="Times New Roman" w:hAnsi="Calibri" w:cs="Calibri"/>
                <w:color w:val="000000"/>
                <w:kern w:val="0"/>
                <w:sz w:val="20"/>
                <w:szCs w:val="20"/>
                <w:lang w:eastAsia="es-MX"/>
                <w14:ligatures w14:val="none"/>
              </w:rPr>
            </w:pPr>
          </w:p>
        </w:tc>
        <w:tc>
          <w:tcPr>
            <w:tcW w:w="1960" w:type="dxa"/>
            <w:tcBorders>
              <w:top w:val="nil"/>
              <w:left w:val="nil"/>
              <w:bottom w:val="nil"/>
              <w:right w:val="nil"/>
            </w:tcBorders>
            <w:noWrap/>
            <w:vAlign w:val="bottom"/>
            <w:hideMark/>
          </w:tcPr>
          <w:p w14:paraId="5741583C" w14:textId="77777777" w:rsidR="00C7506A" w:rsidRPr="007C4F1A" w:rsidRDefault="00C7506A" w:rsidP="003D0615">
            <w:pPr>
              <w:spacing w:after="0" w:line="240" w:lineRule="auto"/>
              <w:ind w:firstLine="709"/>
              <w:rPr>
                <w:rFonts w:ascii="Calibri" w:eastAsia="Times New Roman" w:hAnsi="Calibri" w:cs="Calibri"/>
                <w:kern w:val="0"/>
                <w:sz w:val="20"/>
                <w:szCs w:val="20"/>
                <w:lang w:eastAsia="es-MX"/>
                <w14:ligatures w14:val="none"/>
              </w:rPr>
            </w:pPr>
          </w:p>
        </w:tc>
      </w:tr>
      <w:tr w:rsidR="00C7506A" w:rsidRPr="007C4F1A" w14:paraId="5197255C" w14:textId="77777777" w:rsidTr="004C6B94">
        <w:trPr>
          <w:trHeight w:val="20"/>
        </w:trPr>
        <w:tc>
          <w:tcPr>
            <w:tcW w:w="2760" w:type="dxa"/>
            <w:gridSpan w:val="2"/>
            <w:tcBorders>
              <w:top w:val="nil"/>
              <w:left w:val="nil"/>
              <w:bottom w:val="nil"/>
              <w:right w:val="nil"/>
            </w:tcBorders>
            <w:vAlign w:val="center"/>
            <w:hideMark/>
          </w:tcPr>
          <w:p w14:paraId="188F2E87" w14:textId="77777777"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R-</w:t>
            </w:r>
            <w:proofErr w:type="spellStart"/>
            <w:r w:rsidRPr="007C4F1A">
              <w:rPr>
                <w:rFonts w:ascii="Calibri" w:eastAsia="Times New Roman" w:hAnsi="Calibri" w:cs="Calibri"/>
                <w:color w:val="000000"/>
                <w:kern w:val="0"/>
                <w:sz w:val="20"/>
                <w:szCs w:val="20"/>
                <w:lang w:eastAsia="es-MX"/>
                <w14:ligatures w14:val="none"/>
              </w:rPr>
              <w:t>squared</w:t>
            </w:r>
            <w:proofErr w:type="spellEnd"/>
            <w:r w:rsidRPr="007C4F1A">
              <w:rPr>
                <w:rFonts w:ascii="Calibri" w:eastAsia="Times New Roman" w:hAnsi="Calibri" w:cs="Calibri"/>
                <w:color w:val="000000"/>
                <w:kern w:val="0"/>
                <w:sz w:val="20"/>
                <w:szCs w:val="20"/>
                <w:lang w:eastAsia="es-MX"/>
                <w14:ligatures w14:val="none"/>
              </w:rPr>
              <w:t xml:space="preserve"> </w:t>
            </w:r>
          </w:p>
        </w:tc>
        <w:tc>
          <w:tcPr>
            <w:tcW w:w="1200" w:type="dxa"/>
            <w:tcBorders>
              <w:top w:val="nil"/>
              <w:left w:val="nil"/>
              <w:bottom w:val="nil"/>
              <w:right w:val="nil"/>
            </w:tcBorders>
            <w:vAlign w:val="center"/>
            <w:hideMark/>
          </w:tcPr>
          <w:p w14:paraId="47F8AC03" w14:textId="77777777" w:rsidR="00C7506A" w:rsidRPr="007C4F1A" w:rsidRDefault="00C7506A" w:rsidP="003D0615">
            <w:pPr>
              <w:spacing w:after="0" w:line="240" w:lineRule="auto"/>
              <w:jc w:val="right"/>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0.596</w:t>
            </w:r>
          </w:p>
        </w:tc>
        <w:tc>
          <w:tcPr>
            <w:tcW w:w="1200" w:type="dxa"/>
            <w:tcBorders>
              <w:top w:val="nil"/>
              <w:left w:val="nil"/>
              <w:bottom w:val="nil"/>
              <w:right w:val="nil"/>
            </w:tcBorders>
            <w:vAlign w:val="center"/>
            <w:hideMark/>
          </w:tcPr>
          <w:p w14:paraId="29EBD28F" w14:textId="77777777" w:rsidR="00C7506A" w:rsidRPr="007C4F1A" w:rsidRDefault="00C7506A"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p>
        </w:tc>
        <w:tc>
          <w:tcPr>
            <w:tcW w:w="1200" w:type="dxa"/>
            <w:tcBorders>
              <w:top w:val="nil"/>
              <w:left w:val="nil"/>
              <w:bottom w:val="nil"/>
              <w:right w:val="nil"/>
            </w:tcBorders>
            <w:vAlign w:val="center"/>
            <w:hideMark/>
          </w:tcPr>
          <w:p w14:paraId="56F9837A" w14:textId="77777777" w:rsidR="00C7506A" w:rsidRPr="007C4F1A" w:rsidRDefault="00C7506A" w:rsidP="003D0615">
            <w:pPr>
              <w:spacing w:after="0" w:line="240" w:lineRule="auto"/>
              <w:ind w:firstLine="709"/>
              <w:rPr>
                <w:rFonts w:ascii="Calibri" w:eastAsia="Times New Roman" w:hAnsi="Calibri" w:cs="Calibri"/>
                <w:kern w:val="0"/>
                <w:sz w:val="20"/>
                <w:szCs w:val="20"/>
                <w:lang w:eastAsia="es-MX"/>
                <w14:ligatures w14:val="none"/>
              </w:rPr>
            </w:pPr>
          </w:p>
        </w:tc>
        <w:tc>
          <w:tcPr>
            <w:tcW w:w="1960" w:type="dxa"/>
            <w:tcBorders>
              <w:top w:val="nil"/>
              <w:left w:val="nil"/>
              <w:bottom w:val="nil"/>
              <w:right w:val="nil"/>
            </w:tcBorders>
            <w:noWrap/>
            <w:vAlign w:val="bottom"/>
            <w:hideMark/>
          </w:tcPr>
          <w:p w14:paraId="3D35BCC2" w14:textId="77777777" w:rsidR="00C7506A" w:rsidRPr="007C4F1A" w:rsidRDefault="00C7506A" w:rsidP="003D0615">
            <w:pPr>
              <w:spacing w:after="0" w:line="240" w:lineRule="auto"/>
              <w:ind w:firstLine="709"/>
              <w:rPr>
                <w:rFonts w:ascii="Calibri" w:eastAsia="Times New Roman" w:hAnsi="Calibri" w:cs="Calibri"/>
                <w:kern w:val="0"/>
                <w:sz w:val="20"/>
                <w:szCs w:val="20"/>
                <w:lang w:eastAsia="es-MX"/>
                <w14:ligatures w14:val="none"/>
              </w:rPr>
            </w:pPr>
          </w:p>
        </w:tc>
      </w:tr>
      <w:tr w:rsidR="00C7506A" w:rsidRPr="007C4F1A" w14:paraId="2BEC7114" w14:textId="77777777" w:rsidTr="004C6B94">
        <w:trPr>
          <w:trHeight w:val="20"/>
        </w:trPr>
        <w:tc>
          <w:tcPr>
            <w:tcW w:w="2760" w:type="dxa"/>
            <w:gridSpan w:val="2"/>
            <w:tcBorders>
              <w:top w:val="nil"/>
              <w:left w:val="nil"/>
              <w:bottom w:val="nil"/>
              <w:right w:val="nil"/>
            </w:tcBorders>
            <w:vAlign w:val="center"/>
            <w:hideMark/>
          </w:tcPr>
          <w:p w14:paraId="2E810DD2" w14:textId="77777777"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 xml:space="preserve">F-test  </w:t>
            </w:r>
          </w:p>
        </w:tc>
        <w:tc>
          <w:tcPr>
            <w:tcW w:w="1200" w:type="dxa"/>
            <w:tcBorders>
              <w:top w:val="nil"/>
              <w:left w:val="nil"/>
              <w:bottom w:val="nil"/>
              <w:right w:val="nil"/>
            </w:tcBorders>
            <w:vAlign w:val="center"/>
            <w:hideMark/>
          </w:tcPr>
          <w:p w14:paraId="27FBEB23" w14:textId="77777777" w:rsidR="00C7506A" w:rsidRPr="007C4F1A" w:rsidRDefault="00C7506A" w:rsidP="003D0615">
            <w:pPr>
              <w:spacing w:after="0" w:line="240" w:lineRule="auto"/>
              <w:jc w:val="right"/>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14.673</w:t>
            </w:r>
          </w:p>
        </w:tc>
        <w:tc>
          <w:tcPr>
            <w:tcW w:w="1200" w:type="dxa"/>
            <w:tcBorders>
              <w:top w:val="nil"/>
              <w:left w:val="nil"/>
              <w:bottom w:val="nil"/>
              <w:right w:val="nil"/>
            </w:tcBorders>
            <w:vAlign w:val="center"/>
            <w:hideMark/>
          </w:tcPr>
          <w:p w14:paraId="067859E3" w14:textId="77777777" w:rsidR="00C7506A" w:rsidRPr="007C4F1A" w:rsidRDefault="00C7506A" w:rsidP="003D0615">
            <w:pPr>
              <w:spacing w:after="0" w:line="240" w:lineRule="auto"/>
              <w:ind w:firstLine="709"/>
              <w:jc w:val="right"/>
              <w:rPr>
                <w:rFonts w:ascii="Calibri" w:eastAsia="Times New Roman" w:hAnsi="Calibri" w:cs="Calibri"/>
                <w:color w:val="000000"/>
                <w:kern w:val="0"/>
                <w:sz w:val="20"/>
                <w:szCs w:val="20"/>
                <w:lang w:eastAsia="es-MX"/>
                <w14:ligatures w14:val="none"/>
              </w:rPr>
            </w:pPr>
          </w:p>
        </w:tc>
        <w:tc>
          <w:tcPr>
            <w:tcW w:w="1200" w:type="dxa"/>
            <w:tcBorders>
              <w:top w:val="nil"/>
              <w:left w:val="nil"/>
              <w:bottom w:val="nil"/>
              <w:right w:val="nil"/>
            </w:tcBorders>
            <w:vAlign w:val="center"/>
            <w:hideMark/>
          </w:tcPr>
          <w:p w14:paraId="521D0778" w14:textId="77777777" w:rsidR="00C7506A" w:rsidRPr="007C4F1A" w:rsidRDefault="00C7506A" w:rsidP="003D0615">
            <w:pPr>
              <w:spacing w:after="0" w:line="240" w:lineRule="auto"/>
              <w:ind w:firstLine="709"/>
              <w:rPr>
                <w:rFonts w:ascii="Calibri" w:eastAsia="Times New Roman" w:hAnsi="Calibri" w:cs="Calibri"/>
                <w:kern w:val="0"/>
                <w:sz w:val="20"/>
                <w:szCs w:val="20"/>
                <w:lang w:eastAsia="es-MX"/>
                <w14:ligatures w14:val="none"/>
              </w:rPr>
            </w:pPr>
          </w:p>
        </w:tc>
        <w:tc>
          <w:tcPr>
            <w:tcW w:w="1960" w:type="dxa"/>
            <w:tcBorders>
              <w:top w:val="nil"/>
              <w:left w:val="nil"/>
              <w:bottom w:val="nil"/>
              <w:right w:val="nil"/>
            </w:tcBorders>
            <w:noWrap/>
            <w:vAlign w:val="bottom"/>
            <w:hideMark/>
          </w:tcPr>
          <w:p w14:paraId="3EB474AA" w14:textId="77777777" w:rsidR="00C7506A" w:rsidRPr="007C4F1A" w:rsidRDefault="00C7506A" w:rsidP="003D0615">
            <w:pPr>
              <w:spacing w:after="0" w:line="240" w:lineRule="auto"/>
              <w:ind w:firstLine="709"/>
              <w:rPr>
                <w:rFonts w:ascii="Calibri" w:eastAsia="Times New Roman" w:hAnsi="Calibri" w:cs="Calibri"/>
                <w:kern w:val="0"/>
                <w:sz w:val="20"/>
                <w:szCs w:val="20"/>
                <w:lang w:eastAsia="es-MX"/>
                <w14:ligatures w14:val="none"/>
              </w:rPr>
            </w:pPr>
          </w:p>
        </w:tc>
      </w:tr>
      <w:tr w:rsidR="00C7506A" w:rsidRPr="007C4F1A" w14:paraId="5186B8D3" w14:textId="77777777" w:rsidTr="004C6B94">
        <w:trPr>
          <w:trHeight w:val="20"/>
        </w:trPr>
        <w:tc>
          <w:tcPr>
            <w:tcW w:w="2760" w:type="dxa"/>
            <w:gridSpan w:val="2"/>
            <w:tcBorders>
              <w:top w:val="nil"/>
              <w:left w:val="nil"/>
              <w:bottom w:val="single" w:sz="8" w:space="0" w:color="000000"/>
              <w:right w:val="nil"/>
            </w:tcBorders>
            <w:vAlign w:val="center"/>
            <w:hideMark/>
          </w:tcPr>
          <w:p w14:paraId="28BAE582" w14:textId="77777777" w:rsidR="00C7506A" w:rsidRPr="007C4F1A" w:rsidRDefault="00C7506A" w:rsidP="003D0615">
            <w:pPr>
              <w:spacing w:after="0" w:line="240" w:lineRule="auto"/>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 xml:space="preserve">Akaike </w:t>
            </w:r>
            <w:proofErr w:type="spellStart"/>
            <w:r w:rsidRPr="007C4F1A">
              <w:rPr>
                <w:rFonts w:ascii="Calibri" w:eastAsia="Times New Roman" w:hAnsi="Calibri" w:cs="Calibri"/>
                <w:color w:val="000000"/>
                <w:kern w:val="0"/>
                <w:sz w:val="20"/>
                <w:szCs w:val="20"/>
                <w:lang w:eastAsia="es-MX"/>
                <w14:ligatures w14:val="none"/>
              </w:rPr>
              <w:t>crit</w:t>
            </w:r>
            <w:proofErr w:type="spellEnd"/>
            <w:r w:rsidRPr="007C4F1A">
              <w:rPr>
                <w:rFonts w:ascii="Calibri" w:eastAsia="Times New Roman" w:hAnsi="Calibri" w:cs="Calibri"/>
                <w:color w:val="000000"/>
                <w:kern w:val="0"/>
                <w:sz w:val="20"/>
                <w:szCs w:val="20"/>
                <w:lang w:eastAsia="es-MX"/>
                <w14:ligatures w14:val="none"/>
              </w:rPr>
              <w:t>. (AIC)</w:t>
            </w:r>
          </w:p>
        </w:tc>
        <w:tc>
          <w:tcPr>
            <w:tcW w:w="1200" w:type="dxa"/>
            <w:tcBorders>
              <w:top w:val="nil"/>
              <w:left w:val="nil"/>
              <w:bottom w:val="single" w:sz="8" w:space="0" w:color="000000"/>
              <w:right w:val="nil"/>
            </w:tcBorders>
            <w:vAlign w:val="center"/>
            <w:hideMark/>
          </w:tcPr>
          <w:p w14:paraId="25036C84" w14:textId="77777777" w:rsidR="00C7506A" w:rsidRPr="007C4F1A" w:rsidRDefault="00C7506A" w:rsidP="003D0615">
            <w:pPr>
              <w:spacing w:after="0" w:line="240" w:lineRule="auto"/>
              <w:jc w:val="right"/>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736.152</w:t>
            </w:r>
          </w:p>
        </w:tc>
        <w:tc>
          <w:tcPr>
            <w:tcW w:w="1200" w:type="dxa"/>
            <w:tcBorders>
              <w:top w:val="nil"/>
              <w:left w:val="nil"/>
              <w:bottom w:val="single" w:sz="8" w:space="0" w:color="000000"/>
              <w:right w:val="nil"/>
            </w:tcBorders>
            <w:vAlign w:val="center"/>
            <w:hideMark/>
          </w:tcPr>
          <w:p w14:paraId="0F66D7F3" w14:textId="77777777" w:rsidR="00C7506A" w:rsidRPr="007C4F1A" w:rsidRDefault="00C7506A" w:rsidP="003D0615">
            <w:pPr>
              <w:spacing w:after="0" w:line="240" w:lineRule="auto"/>
              <w:ind w:firstLine="709"/>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 </w:t>
            </w:r>
          </w:p>
        </w:tc>
        <w:tc>
          <w:tcPr>
            <w:tcW w:w="1200" w:type="dxa"/>
            <w:tcBorders>
              <w:top w:val="nil"/>
              <w:left w:val="nil"/>
              <w:bottom w:val="single" w:sz="8" w:space="0" w:color="auto"/>
              <w:right w:val="nil"/>
            </w:tcBorders>
            <w:vAlign w:val="center"/>
            <w:hideMark/>
          </w:tcPr>
          <w:p w14:paraId="77775081" w14:textId="77777777" w:rsidR="00C7506A" w:rsidRPr="007C4F1A" w:rsidRDefault="00C7506A" w:rsidP="003D0615">
            <w:pPr>
              <w:spacing w:after="0" w:line="240" w:lineRule="auto"/>
              <w:ind w:firstLine="709"/>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 </w:t>
            </w:r>
          </w:p>
        </w:tc>
        <w:tc>
          <w:tcPr>
            <w:tcW w:w="1960" w:type="dxa"/>
            <w:tcBorders>
              <w:top w:val="nil"/>
              <w:left w:val="nil"/>
              <w:bottom w:val="single" w:sz="8" w:space="0" w:color="auto"/>
              <w:right w:val="nil"/>
            </w:tcBorders>
            <w:noWrap/>
            <w:vAlign w:val="bottom"/>
            <w:hideMark/>
          </w:tcPr>
          <w:p w14:paraId="37584CCA" w14:textId="77777777" w:rsidR="00C7506A" w:rsidRPr="007C4F1A" w:rsidRDefault="00C7506A" w:rsidP="003D0615">
            <w:pPr>
              <w:spacing w:after="0" w:line="240" w:lineRule="auto"/>
              <w:ind w:firstLine="709"/>
              <w:rPr>
                <w:rFonts w:ascii="Calibri" w:eastAsia="Times New Roman" w:hAnsi="Calibri" w:cs="Calibri"/>
                <w:color w:val="000000"/>
                <w:kern w:val="0"/>
                <w:sz w:val="20"/>
                <w:szCs w:val="20"/>
                <w:lang w:eastAsia="es-MX"/>
                <w14:ligatures w14:val="none"/>
              </w:rPr>
            </w:pPr>
            <w:r w:rsidRPr="007C4F1A">
              <w:rPr>
                <w:rFonts w:ascii="Calibri" w:eastAsia="Times New Roman" w:hAnsi="Calibri" w:cs="Calibri"/>
                <w:color w:val="000000"/>
                <w:kern w:val="0"/>
                <w:sz w:val="20"/>
                <w:szCs w:val="20"/>
                <w:lang w:eastAsia="es-MX"/>
                <w14:ligatures w14:val="none"/>
              </w:rPr>
              <w:t> </w:t>
            </w:r>
          </w:p>
        </w:tc>
      </w:tr>
      <w:tr w:rsidR="00C7506A" w:rsidRPr="007C4F1A" w14:paraId="4284653A" w14:textId="77777777" w:rsidTr="004C6B94">
        <w:trPr>
          <w:trHeight w:val="20"/>
        </w:trPr>
        <w:tc>
          <w:tcPr>
            <w:tcW w:w="6360" w:type="dxa"/>
            <w:gridSpan w:val="5"/>
            <w:tcBorders>
              <w:top w:val="single" w:sz="8" w:space="0" w:color="000000"/>
              <w:left w:val="nil"/>
              <w:bottom w:val="nil"/>
              <w:right w:val="nil"/>
            </w:tcBorders>
            <w:vAlign w:val="center"/>
            <w:hideMark/>
          </w:tcPr>
          <w:p w14:paraId="386D4F85" w14:textId="3F0EFB3F" w:rsidR="00C7506A" w:rsidRPr="007C4F1A" w:rsidRDefault="00C7506A" w:rsidP="003D0615">
            <w:pPr>
              <w:spacing w:after="0" w:line="240" w:lineRule="auto"/>
              <w:rPr>
                <w:rFonts w:ascii="Calibri" w:eastAsia="Times New Roman" w:hAnsi="Calibri" w:cs="Calibri"/>
                <w:i/>
                <w:iCs/>
                <w:color w:val="000000"/>
                <w:kern w:val="0"/>
                <w:sz w:val="20"/>
                <w:szCs w:val="20"/>
                <w:lang w:eastAsia="es-MX"/>
                <w14:ligatures w14:val="none"/>
              </w:rPr>
            </w:pPr>
            <w:r w:rsidRPr="007C4F1A">
              <w:rPr>
                <w:rFonts w:ascii="Calibri" w:eastAsia="Times New Roman" w:hAnsi="Calibri" w:cs="Calibri"/>
                <w:i/>
                <w:iCs/>
                <w:color w:val="000000"/>
                <w:kern w:val="0"/>
                <w:sz w:val="20"/>
                <w:szCs w:val="20"/>
                <w:lang w:eastAsia="es-MX"/>
                <w14:ligatures w14:val="none"/>
              </w:rPr>
              <w:t>*** p&lt;.01, ** p&lt;.05, * p&lt;.1</w:t>
            </w:r>
            <w:r w:rsidR="002E6611" w:rsidRPr="007C4F1A">
              <w:rPr>
                <w:rFonts w:ascii="Calibri" w:eastAsia="Times New Roman" w:hAnsi="Calibri" w:cs="Calibri"/>
                <w:i/>
                <w:iCs/>
                <w:color w:val="000000"/>
                <w:kern w:val="0"/>
                <w:sz w:val="20"/>
                <w:szCs w:val="20"/>
                <w:lang w:eastAsia="es-MX"/>
                <w14:ligatures w14:val="none"/>
              </w:rPr>
              <w:t>0</w:t>
            </w:r>
          </w:p>
        </w:tc>
        <w:tc>
          <w:tcPr>
            <w:tcW w:w="1960" w:type="dxa"/>
            <w:tcBorders>
              <w:top w:val="nil"/>
              <w:left w:val="nil"/>
              <w:bottom w:val="nil"/>
              <w:right w:val="nil"/>
            </w:tcBorders>
            <w:noWrap/>
            <w:vAlign w:val="bottom"/>
            <w:hideMark/>
          </w:tcPr>
          <w:p w14:paraId="54906520" w14:textId="77777777" w:rsidR="00C7506A" w:rsidRPr="007C4F1A" w:rsidRDefault="00C7506A" w:rsidP="003D0615">
            <w:pPr>
              <w:spacing w:after="0" w:line="240" w:lineRule="auto"/>
              <w:ind w:firstLine="709"/>
              <w:rPr>
                <w:rFonts w:ascii="Calibri" w:eastAsia="Times New Roman" w:hAnsi="Calibri" w:cs="Calibri"/>
                <w:i/>
                <w:iCs/>
                <w:color w:val="000000"/>
                <w:kern w:val="0"/>
                <w:sz w:val="20"/>
                <w:szCs w:val="20"/>
                <w:lang w:eastAsia="es-MX"/>
                <w14:ligatures w14:val="none"/>
              </w:rPr>
            </w:pPr>
          </w:p>
        </w:tc>
      </w:tr>
    </w:tbl>
    <w:p w14:paraId="5DBC2460" w14:textId="057FCAF7" w:rsidR="00606B29" w:rsidRDefault="00161C5D" w:rsidP="003D0615">
      <w:pPr>
        <w:suppressAutoHyphens/>
        <w:spacing w:line="240" w:lineRule="auto"/>
        <w:jc w:val="both"/>
        <w:rPr>
          <w:rFonts w:ascii="Calibri" w:eastAsiaTheme="minorEastAsia" w:hAnsi="Calibri" w:cs="Calibri"/>
          <w:color w:val="000000"/>
          <w:sz w:val="20"/>
          <w:szCs w:val="20"/>
          <w14:ligatures w14:val="none"/>
        </w:rPr>
      </w:pPr>
      <w:r w:rsidRPr="001D1D91">
        <w:rPr>
          <w:rFonts w:ascii="Calibri" w:eastAsiaTheme="minorEastAsia" w:hAnsi="Calibri" w:cs="Calibri"/>
          <w:color w:val="000000"/>
          <w:sz w:val="20"/>
          <w:szCs w:val="20"/>
          <w14:ligatures w14:val="none"/>
        </w:rPr>
        <w:t>Nota</w:t>
      </w:r>
      <w:r w:rsidR="00280740" w:rsidRPr="001D1D91">
        <w:rPr>
          <w:rFonts w:ascii="Calibri" w:eastAsiaTheme="minorEastAsia" w:hAnsi="Calibri" w:cs="Calibri"/>
          <w:color w:val="000000"/>
          <w:sz w:val="20"/>
          <w:szCs w:val="20"/>
          <w14:ligatures w14:val="none"/>
        </w:rPr>
        <w:t>: Elaboración propia</w:t>
      </w:r>
    </w:p>
    <w:p w14:paraId="45E21306" w14:textId="77777777" w:rsidR="003C4823" w:rsidRPr="001D1D91" w:rsidRDefault="003C4823" w:rsidP="003D0615">
      <w:pPr>
        <w:suppressAutoHyphens/>
        <w:spacing w:line="240" w:lineRule="auto"/>
        <w:jc w:val="both"/>
        <w:rPr>
          <w:rFonts w:ascii="Calibri" w:eastAsiaTheme="minorEastAsia" w:hAnsi="Calibri" w:cs="Calibri"/>
          <w:color w:val="000000"/>
          <w:sz w:val="20"/>
          <w:szCs w:val="20"/>
          <w14:ligatures w14:val="none"/>
        </w:rPr>
      </w:pPr>
    </w:p>
    <w:p w14:paraId="098D59F2" w14:textId="4F6C3048" w:rsidR="0049583F" w:rsidRPr="00D44E2B" w:rsidRDefault="00927C32" w:rsidP="003D0615">
      <w:pPr>
        <w:suppressAutoHyphens/>
        <w:spacing w:line="240" w:lineRule="auto"/>
        <w:ind w:firstLine="709"/>
        <w:jc w:val="both"/>
        <w:rPr>
          <w:rFonts w:ascii="Calibri" w:eastAsiaTheme="minorEastAsia" w:hAnsi="Calibri" w:cs="Calibri"/>
          <w:b/>
          <w:bCs/>
          <w:color w:val="000000"/>
          <w:sz w:val="24"/>
          <w:szCs w:val="24"/>
          <w14:ligatures w14:val="none"/>
        </w:rPr>
      </w:pPr>
      <w:r>
        <w:rPr>
          <w:rFonts w:ascii="Calibri" w:eastAsiaTheme="minorEastAsia" w:hAnsi="Calibri" w:cs="Calibri"/>
          <w:b/>
          <w:bCs/>
          <w:color w:val="000000"/>
          <w:sz w:val="24"/>
          <w:szCs w:val="24"/>
          <w14:ligatures w14:val="none"/>
        </w:rPr>
        <w:lastRenderedPageBreak/>
        <w:t xml:space="preserve">3.7 </w:t>
      </w:r>
      <w:r w:rsidR="0049583F" w:rsidRPr="00D44E2B">
        <w:rPr>
          <w:rFonts w:ascii="Calibri" w:eastAsiaTheme="minorEastAsia" w:hAnsi="Calibri" w:cs="Calibri"/>
          <w:b/>
          <w:bCs/>
          <w:color w:val="000000"/>
          <w:sz w:val="24"/>
          <w:szCs w:val="24"/>
          <w14:ligatures w14:val="none"/>
        </w:rPr>
        <w:t xml:space="preserve">Interpretación de los resultados del modelo </w:t>
      </w:r>
      <w:r>
        <w:rPr>
          <w:rFonts w:ascii="Calibri" w:eastAsiaTheme="minorEastAsia" w:hAnsi="Calibri" w:cs="Calibri"/>
          <w:b/>
          <w:bCs/>
          <w:color w:val="000000"/>
          <w:sz w:val="24"/>
          <w:szCs w:val="24"/>
          <w14:ligatures w14:val="none"/>
        </w:rPr>
        <w:t>5</w:t>
      </w:r>
    </w:p>
    <w:p w14:paraId="0F528723" w14:textId="77777777" w:rsidR="00C953F2" w:rsidRDefault="005E3BFC" w:rsidP="003D0615">
      <w:pPr>
        <w:suppressAutoHyphens/>
        <w:spacing w:line="240" w:lineRule="auto"/>
        <w:ind w:firstLine="709"/>
        <w:jc w:val="both"/>
        <w:rPr>
          <w:rFonts w:ascii="Calibri" w:eastAsiaTheme="minorEastAsia" w:hAnsi="Calibri" w:cs="Calibri"/>
          <w:sz w:val="24"/>
          <w:szCs w:val="24"/>
          <w14:ligatures w14:val="none"/>
        </w:rPr>
      </w:pPr>
      <w:r w:rsidRPr="00013E79">
        <w:rPr>
          <w:rFonts w:ascii="Calibri" w:eastAsiaTheme="minorEastAsia" w:hAnsi="Calibri" w:cs="Calibri"/>
          <w:sz w:val="24"/>
          <w:szCs w:val="24"/>
          <w14:ligatures w14:val="none"/>
        </w:rPr>
        <w:t>El modelo es estadísticamente significativo y explica el 59.6% de la variabilidad en las visitas turísticas a través de las variables independientes incluidas.</w:t>
      </w:r>
      <w:r w:rsidR="00013E79">
        <w:rPr>
          <w:rFonts w:ascii="Calibri" w:eastAsiaTheme="minorEastAsia" w:hAnsi="Calibri" w:cs="Calibri"/>
          <w:sz w:val="24"/>
          <w:szCs w:val="24"/>
          <w14:ligatures w14:val="none"/>
        </w:rPr>
        <w:t xml:space="preserve"> La variable </w:t>
      </w:r>
      <w:r w:rsidRPr="00013E79">
        <w:rPr>
          <w:rFonts w:ascii="Calibri" w:eastAsiaTheme="minorEastAsia" w:hAnsi="Calibri" w:cs="Calibri"/>
          <w:sz w:val="24"/>
          <w:szCs w:val="24"/>
          <w14:ligatures w14:val="none"/>
        </w:rPr>
        <w:t>COVID tiene un efecto negativo y significativo en las visitas turísticas: por cada unidad de aumento en COVID, las visitas disminuyen en promedio 1,313.2 unidades.</w:t>
      </w:r>
      <w:r w:rsidR="00013E79">
        <w:rPr>
          <w:rFonts w:ascii="Calibri" w:eastAsiaTheme="minorEastAsia" w:hAnsi="Calibri" w:cs="Calibri"/>
          <w:sz w:val="24"/>
          <w:szCs w:val="24"/>
          <w14:ligatures w14:val="none"/>
        </w:rPr>
        <w:t xml:space="preserve"> En cuanto al </w:t>
      </w:r>
      <w:r w:rsidR="0049583F" w:rsidRPr="00013E79">
        <w:rPr>
          <w:rFonts w:ascii="Calibri" w:eastAsiaTheme="minorEastAsia" w:hAnsi="Calibri" w:cs="Calibri"/>
          <w:sz w:val="24"/>
          <w:szCs w:val="24"/>
          <w14:ligatures w14:val="none"/>
        </w:rPr>
        <w:t xml:space="preserve">PIB turístico </w:t>
      </w:r>
      <w:r w:rsidR="00013E79">
        <w:rPr>
          <w:rFonts w:ascii="Calibri" w:eastAsiaTheme="minorEastAsia" w:hAnsi="Calibri" w:cs="Calibri"/>
          <w:sz w:val="24"/>
          <w:szCs w:val="24"/>
          <w14:ligatures w14:val="none"/>
        </w:rPr>
        <w:t>t</w:t>
      </w:r>
      <w:r w:rsidR="0049583F" w:rsidRPr="00013E79">
        <w:rPr>
          <w:rFonts w:ascii="Calibri" w:eastAsiaTheme="minorEastAsia" w:hAnsi="Calibri" w:cs="Calibri"/>
          <w:sz w:val="24"/>
          <w:szCs w:val="24"/>
          <w14:ligatures w14:val="none"/>
        </w:rPr>
        <w:t xml:space="preserve">iene un efecto positivo significativo (p &lt; 0.05) en las </w:t>
      </w:r>
      <w:r w:rsidR="00120442" w:rsidRPr="00013E79">
        <w:rPr>
          <w:rFonts w:ascii="Calibri" w:eastAsiaTheme="minorEastAsia" w:hAnsi="Calibri" w:cs="Calibri"/>
          <w:sz w:val="24"/>
          <w:szCs w:val="24"/>
          <w14:ligatures w14:val="none"/>
        </w:rPr>
        <w:t>v</w:t>
      </w:r>
      <w:r w:rsidR="0049583F" w:rsidRPr="00013E79">
        <w:rPr>
          <w:rFonts w:ascii="Calibri" w:eastAsiaTheme="minorEastAsia" w:hAnsi="Calibri" w:cs="Calibri"/>
          <w:sz w:val="24"/>
          <w:szCs w:val="24"/>
          <w14:ligatures w14:val="none"/>
        </w:rPr>
        <w:t>isitas. Por cada unidad de aumento en PIB turístico, las visitas aumentan en promedio 34.1 unidades.</w:t>
      </w:r>
      <w:r w:rsidR="00013E79">
        <w:rPr>
          <w:rFonts w:ascii="Calibri" w:eastAsiaTheme="minorEastAsia" w:hAnsi="Calibri" w:cs="Calibri"/>
          <w:sz w:val="24"/>
          <w:szCs w:val="24"/>
          <w14:ligatures w14:val="none"/>
        </w:rPr>
        <w:t xml:space="preserve"> La variable p</w:t>
      </w:r>
      <w:r w:rsidR="0049583F" w:rsidRPr="00013E79">
        <w:rPr>
          <w:rFonts w:ascii="Calibri" w:eastAsiaTheme="minorEastAsia" w:hAnsi="Calibri" w:cs="Calibri"/>
          <w:sz w:val="24"/>
          <w:szCs w:val="24"/>
          <w14:ligatures w14:val="none"/>
        </w:rPr>
        <w:t xml:space="preserve">eriodo vacacional </w:t>
      </w:r>
      <w:r w:rsidR="00013E79">
        <w:rPr>
          <w:rFonts w:ascii="Calibri" w:eastAsiaTheme="minorEastAsia" w:hAnsi="Calibri" w:cs="Calibri"/>
          <w:sz w:val="24"/>
          <w:szCs w:val="24"/>
          <w14:ligatures w14:val="none"/>
        </w:rPr>
        <w:t>t</w:t>
      </w:r>
      <w:r w:rsidR="0049583F" w:rsidRPr="00013E79">
        <w:rPr>
          <w:rFonts w:ascii="Calibri" w:eastAsiaTheme="minorEastAsia" w:hAnsi="Calibri" w:cs="Calibri"/>
          <w:sz w:val="24"/>
          <w:szCs w:val="24"/>
          <w14:ligatures w14:val="none"/>
        </w:rPr>
        <w:t>iene un efecto positivo significativo (p &lt; 0.01) en las visitas. Durante los períodos de vacaciones, las visitas aumentan en promedio 866.3 unidades.</w:t>
      </w:r>
      <w:r w:rsidR="00013E79">
        <w:rPr>
          <w:rFonts w:ascii="Calibri" w:eastAsiaTheme="minorEastAsia" w:hAnsi="Calibri" w:cs="Calibri"/>
          <w:sz w:val="24"/>
          <w:szCs w:val="24"/>
          <w14:ligatures w14:val="none"/>
        </w:rPr>
        <w:t xml:space="preserve"> </w:t>
      </w:r>
    </w:p>
    <w:p w14:paraId="30BC5655" w14:textId="2EA51CE7" w:rsidR="0049583F" w:rsidRPr="00D44E2B" w:rsidRDefault="00013E79" w:rsidP="003D0615">
      <w:pPr>
        <w:suppressAutoHyphens/>
        <w:spacing w:line="240" w:lineRule="auto"/>
        <w:ind w:firstLine="709"/>
        <w:jc w:val="both"/>
        <w:rPr>
          <w:rFonts w:ascii="Calibri" w:eastAsiaTheme="minorEastAsia" w:hAnsi="Calibri" w:cs="Calibri"/>
          <w:sz w:val="24"/>
          <w:szCs w:val="24"/>
          <w14:ligatures w14:val="none"/>
        </w:rPr>
      </w:pPr>
      <w:r>
        <w:rPr>
          <w:rFonts w:ascii="Calibri" w:eastAsiaTheme="minorEastAsia" w:hAnsi="Calibri" w:cs="Calibri"/>
          <w:sz w:val="24"/>
          <w:szCs w:val="24"/>
          <w14:ligatures w14:val="none"/>
        </w:rPr>
        <w:t>Con respecto a la c</w:t>
      </w:r>
      <w:r w:rsidR="0049583F" w:rsidRPr="00013E79">
        <w:rPr>
          <w:rFonts w:ascii="Calibri" w:eastAsiaTheme="minorEastAsia" w:hAnsi="Calibri" w:cs="Calibri"/>
          <w:sz w:val="24"/>
          <w:szCs w:val="24"/>
          <w14:ligatures w14:val="none"/>
        </w:rPr>
        <w:t xml:space="preserve">onfianza del </w:t>
      </w:r>
      <w:r>
        <w:rPr>
          <w:rFonts w:ascii="Calibri" w:eastAsiaTheme="minorEastAsia" w:hAnsi="Calibri" w:cs="Calibri"/>
          <w:sz w:val="24"/>
          <w:szCs w:val="24"/>
          <w14:ligatures w14:val="none"/>
        </w:rPr>
        <w:t>c</w:t>
      </w:r>
      <w:r w:rsidR="0049583F" w:rsidRPr="00013E79">
        <w:rPr>
          <w:rFonts w:ascii="Calibri" w:eastAsiaTheme="minorEastAsia" w:hAnsi="Calibri" w:cs="Calibri"/>
          <w:sz w:val="24"/>
          <w:szCs w:val="24"/>
          <w14:ligatures w14:val="none"/>
        </w:rPr>
        <w:t>onsumidor</w:t>
      </w:r>
      <w:r>
        <w:rPr>
          <w:rFonts w:ascii="Calibri" w:eastAsiaTheme="minorEastAsia" w:hAnsi="Calibri" w:cs="Calibri"/>
          <w:sz w:val="24"/>
          <w:szCs w:val="24"/>
          <w14:ligatures w14:val="none"/>
        </w:rPr>
        <w:t>, la variable presenta u</w:t>
      </w:r>
      <w:r w:rsidR="0049583F" w:rsidRPr="00013E79">
        <w:rPr>
          <w:rFonts w:ascii="Calibri" w:eastAsiaTheme="minorEastAsia" w:hAnsi="Calibri" w:cs="Calibri"/>
          <w:sz w:val="24"/>
          <w:szCs w:val="24"/>
          <w14:ligatures w14:val="none"/>
        </w:rPr>
        <w:t xml:space="preserve">n efecto negativo significativo (p &lt; 0.01) en las visitas. Por cada unidad de aumento en </w:t>
      </w:r>
      <w:r>
        <w:rPr>
          <w:rFonts w:ascii="Calibri" w:eastAsiaTheme="minorEastAsia" w:hAnsi="Calibri" w:cs="Calibri"/>
          <w:sz w:val="24"/>
          <w:szCs w:val="24"/>
          <w14:ligatures w14:val="none"/>
        </w:rPr>
        <w:t>c</w:t>
      </w:r>
      <w:r w:rsidR="0049583F" w:rsidRPr="00013E79">
        <w:rPr>
          <w:rFonts w:ascii="Calibri" w:eastAsiaTheme="minorEastAsia" w:hAnsi="Calibri" w:cs="Calibri"/>
          <w:sz w:val="24"/>
          <w:szCs w:val="24"/>
          <w14:ligatures w14:val="none"/>
        </w:rPr>
        <w:t>onfianza del consumidor, las visitas disminuyen en promedio 116.3 unidades.</w:t>
      </w:r>
      <w:r>
        <w:rPr>
          <w:rFonts w:ascii="Calibri" w:eastAsiaTheme="minorEastAsia" w:hAnsi="Calibri" w:cs="Calibri"/>
          <w:sz w:val="24"/>
          <w:szCs w:val="24"/>
          <w14:ligatures w14:val="none"/>
        </w:rPr>
        <w:t xml:space="preserve"> Así mismo, la </w:t>
      </w:r>
      <w:r w:rsidR="00280740">
        <w:rPr>
          <w:rFonts w:ascii="Calibri" w:eastAsiaTheme="minorEastAsia" w:hAnsi="Calibri" w:cs="Calibri"/>
          <w:sz w:val="24"/>
          <w:szCs w:val="24"/>
          <w14:ligatures w14:val="none"/>
        </w:rPr>
        <w:t>i</w:t>
      </w:r>
      <w:r w:rsidR="0049583F" w:rsidRPr="00013E79">
        <w:rPr>
          <w:rFonts w:ascii="Calibri" w:eastAsiaTheme="minorEastAsia" w:hAnsi="Calibri" w:cs="Calibri"/>
          <w:sz w:val="24"/>
          <w:szCs w:val="24"/>
          <w14:ligatures w14:val="none"/>
        </w:rPr>
        <w:t>nflación</w:t>
      </w:r>
      <w:r>
        <w:rPr>
          <w:rFonts w:ascii="Calibri" w:eastAsiaTheme="minorEastAsia" w:hAnsi="Calibri" w:cs="Calibri"/>
          <w:sz w:val="24"/>
          <w:szCs w:val="24"/>
          <w14:ligatures w14:val="none"/>
        </w:rPr>
        <w:t>, t</w:t>
      </w:r>
      <w:r w:rsidR="0049583F" w:rsidRPr="00013E79">
        <w:rPr>
          <w:rFonts w:ascii="Calibri" w:eastAsiaTheme="minorEastAsia" w:hAnsi="Calibri" w:cs="Calibri"/>
          <w:sz w:val="24"/>
          <w:szCs w:val="24"/>
          <w14:ligatures w14:val="none"/>
        </w:rPr>
        <w:t xml:space="preserve">iene un efecto negativo significativo (p &lt; 0.05) en las visitas. Por cada unidad de aumento en la </w:t>
      </w:r>
      <w:r w:rsidR="00280740">
        <w:rPr>
          <w:rFonts w:ascii="Calibri" w:eastAsiaTheme="minorEastAsia" w:hAnsi="Calibri" w:cs="Calibri"/>
          <w:sz w:val="24"/>
          <w:szCs w:val="24"/>
          <w14:ligatures w14:val="none"/>
        </w:rPr>
        <w:t>i</w:t>
      </w:r>
      <w:r w:rsidR="0049583F" w:rsidRPr="00013E79">
        <w:rPr>
          <w:rFonts w:ascii="Calibri" w:eastAsiaTheme="minorEastAsia" w:hAnsi="Calibri" w:cs="Calibri"/>
          <w:sz w:val="24"/>
          <w:szCs w:val="24"/>
          <w14:ligatures w14:val="none"/>
        </w:rPr>
        <w:t>nflación, las visitas disminuyen en promedio 214.95 unidades</w:t>
      </w:r>
      <w:r>
        <w:rPr>
          <w:rFonts w:ascii="Calibri" w:eastAsiaTheme="minorEastAsia" w:hAnsi="Calibri" w:cs="Calibri"/>
          <w:sz w:val="24"/>
          <w:szCs w:val="24"/>
          <w14:ligatures w14:val="none"/>
        </w:rPr>
        <w:t>. Las v</w:t>
      </w:r>
      <w:r w:rsidR="0049583F" w:rsidRPr="00013E79">
        <w:rPr>
          <w:rFonts w:ascii="Calibri" w:eastAsiaTheme="minorEastAsia" w:hAnsi="Calibri" w:cs="Calibri"/>
          <w:sz w:val="24"/>
          <w:szCs w:val="24"/>
          <w14:ligatures w14:val="none"/>
        </w:rPr>
        <w:t xml:space="preserve">ariables </w:t>
      </w:r>
      <w:r w:rsidR="00280740">
        <w:rPr>
          <w:rFonts w:ascii="Calibri" w:eastAsiaTheme="minorEastAsia" w:hAnsi="Calibri" w:cs="Calibri"/>
          <w:sz w:val="24"/>
          <w:szCs w:val="24"/>
          <w14:ligatures w14:val="none"/>
        </w:rPr>
        <w:t>r</w:t>
      </w:r>
      <w:r w:rsidR="0049583F" w:rsidRPr="00013E79">
        <w:rPr>
          <w:rFonts w:ascii="Calibri" w:eastAsiaTheme="minorEastAsia" w:hAnsi="Calibri" w:cs="Calibri"/>
          <w:sz w:val="24"/>
          <w:szCs w:val="24"/>
          <w14:ligatures w14:val="none"/>
        </w:rPr>
        <w:t xml:space="preserve">iesgo </w:t>
      </w:r>
      <w:r w:rsidR="00280740">
        <w:rPr>
          <w:rFonts w:ascii="Calibri" w:eastAsiaTheme="minorEastAsia" w:hAnsi="Calibri" w:cs="Calibri"/>
          <w:sz w:val="24"/>
          <w:szCs w:val="24"/>
          <w14:ligatures w14:val="none"/>
        </w:rPr>
        <w:t>p</w:t>
      </w:r>
      <w:r w:rsidR="0049583F" w:rsidRPr="00013E79">
        <w:rPr>
          <w:rFonts w:ascii="Calibri" w:eastAsiaTheme="minorEastAsia" w:hAnsi="Calibri" w:cs="Calibri"/>
          <w:sz w:val="24"/>
          <w:szCs w:val="24"/>
          <w14:ligatures w14:val="none"/>
        </w:rPr>
        <w:t xml:space="preserve">aís y </w:t>
      </w:r>
      <w:r w:rsidR="00280740">
        <w:rPr>
          <w:rFonts w:ascii="Calibri" w:eastAsiaTheme="minorEastAsia" w:hAnsi="Calibri" w:cs="Calibri"/>
          <w:sz w:val="24"/>
          <w:szCs w:val="24"/>
          <w14:ligatures w14:val="none"/>
        </w:rPr>
        <w:t>p</w:t>
      </w:r>
      <w:r w:rsidR="0049583F" w:rsidRPr="00013E79">
        <w:rPr>
          <w:rFonts w:ascii="Calibri" w:eastAsiaTheme="minorEastAsia" w:hAnsi="Calibri" w:cs="Calibri"/>
          <w:sz w:val="24"/>
          <w:szCs w:val="24"/>
          <w14:ligatures w14:val="none"/>
        </w:rPr>
        <w:t xml:space="preserve">atrimonio </w:t>
      </w:r>
      <w:r w:rsidR="00280740">
        <w:rPr>
          <w:rFonts w:ascii="Calibri" w:eastAsiaTheme="minorEastAsia" w:hAnsi="Calibri" w:cs="Calibri"/>
          <w:sz w:val="24"/>
          <w:szCs w:val="24"/>
          <w14:ligatures w14:val="none"/>
        </w:rPr>
        <w:t>m</w:t>
      </w:r>
      <w:r w:rsidR="001722A6" w:rsidRPr="00013E79">
        <w:rPr>
          <w:rFonts w:ascii="Calibri" w:eastAsiaTheme="minorEastAsia" w:hAnsi="Calibri" w:cs="Calibri"/>
          <w:sz w:val="24"/>
          <w:szCs w:val="24"/>
          <w14:ligatures w14:val="none"/>
        </w:rPr>
        <w:t>undial</w:t>
      </w:r>
      <w:r>
        <w:rPr>
          <w:rFonts w:ascii="Calibri" w:eastAsiaTheme="minorEastAsia" w:hAnsi="Calibri" w:cs="Calibri"/>
          <w:sz w:val="24"/>
          <w:szCs w:val="24"/>
          <w14:ligatures w14:val="none"/>
        </w:rPr>
        <w:t>,</w:t>
      </w:r>
      <w:r w:rsidR="0049583F" w:rsidRPr="00013E79">
        <w:rPr>
          <w:rFonts w:ascii="Calibri" w:eastAsiaTheme="minorEastAsia" w:hAnsi="Calibri" w:cs="Calibri"/>
          <w:sz w:val="24"/>
          <w:szCs w:val="24"/>
          <w14:ligatures w14:val="none"/>
        </w:rPr>
        <w:t xml:space="preserve"> no tienen efectos estadísticamente significativos en las </w:t>
      </w:r>
      <w:r w:rsidR="00280740">
        <w:rPr>
          <w:rFonts w:ascii="Calibri" w:eastAsiaTheme="minorEastAsia" w:hAnsi="Calibri" w:cs="Calibri"/>
          <w:sz w:val="24"/>
          <w:szCs w:val="24"/>
          <w14:ligatures w14:val="none"/>
        </w:rPr>
        <w:t>v</w:t>
      </w:r>
      <w:r w:rsidR="0049583F" w:rsidRPr="00013E79">
        <w:rPr>
          <w:rFonts w:ascii="Calibri" w:eastAsiaTheme="minorEastAsia" w:hAnsi="Calibri" w:cs="Calibri"/>
          <w:sz w:val="24"/>
          <w:szCs w:val="24"/>
          <w14:ligatures w14:val="none"/>
        </w:rPr>
        <w:t>isitas (p &gt; 0.05).</w:t>
      </w:r>
      <w:r>
        <w:rPr>
          <w:rFonts w:ascii="Calibri" w:eastAsiaTheme="minorEastAsia" w:hAnsi="Calibri" w:cs="Calibri"/>
          <w:sz w:val="24"/>
          <w:szCs w:val="24"/>
          <w14:ligatures w14:val="none"/>
        </w:rPr>
        <w:t xml:space="preserve"> Por último, l</w:t>
      </w:r>
      <w:r w:rsidR="0049583F" w:rsidRPr="00013E79">
        <w:rPr>
          <w:rFonts w:ascii="Calibri" w:eastAsiaTheme="minorEastAsia" w:hAnsi="Calibri" w:cs="Calibri"/>
          <w:sz w:val="24"/>
          <w:szCs w:val="24"/>
          <w14:ligatures w14:val="none"/>
        </w:rPr>
        <w:t>a constante es marginalmente significativa (p &lt; 0.1), sugiriendo un nivel base de visitas de 3548.278 cuando todas las demás variables son cero.</w:t>
      </w:r>
    </w:p>
    <w:p w14:paraId="76712EA2" w14:textId="7D849E18" w:rsidR="0063691F" w:rsidRDefault="0049583F" w:rsidP="003D0615">
      <w:pPr>
        <w:suppressAutoHyphens/>
        <w:spacing w:line="240" w:lineRule="auto"/>
        <w:ind w:firstLine="709"/>
        <w:jc w:val="both"/>
        <w:rPr>
          <w:rFonts w:ascii="Calibri" w:eastAsiaTheme="minorEastAsia" w:hAnsi="Calibri" w:cs="Calibri"/>
          <w:sz w:val="24"/>
          <w:szCs w:val="24"/>
          <w14:ligatures w14:val="none"/>
        </w:rPr>
      </w:pPr>
      <w:r w:rsidRPr="00D44E2B">
        <w:rPr>
          <w:rFonts w:ascii="Calibri" w:eastAsiaTheme="minorEastAsia" w:hAnsi="Calibri" w:cs="Calibri"/>
          <w:sz w:val="24"/>
          <w:szCs w:val="24"/>
          <w14:ligatures w14:val="none"/>
        </w:rPr>
        <w:t xml:space="preserve">En resumen, el modelo sugiere que factores como </w:t>
      </w:r>
      <w:r w:rsidR="00F76164">
        <w:rPr>
          <w:rFonts w:ascii="Calibri" w:eastAsiaTheme="minorEastAsia" w:hAnsi="Calibri" w:cs="Calibri"/>
          <w:sz w:val="24"/>
          <w:szCs w:val="24"/>
          <w14:ligatures w14:val="none"/>
        </w:rPr>
        <w:t>COVID</w:t>
      </w:r>
      <w:r w:rsidRPr="00D44E2B">
        <w:rPr>
          <w:rFonts w:ascii="Calibri" w:eastAsiaTheme="minorEastAsia" w:hAnsi="Calibri" w:cs="Calibri"/>
          <w:sz w:val="24"/>
          <w:szCs w:val="24"/>
          <w14:ligatures w14:val="none"/>
        </w:rPr>
        <w:t xml:space="preserve">, PIB turístico, períodos vacacionales, confianza del consumidor e inflación tienen impactos significativos en las visitas, mientras que el </w:t>
      </w:r>
      <w:r w:rsidR="00280740">
        <w:rPr>
          <w:rFonts w:ascii="Calibri" w:eastAsiaTheme="minorEastAsia" w:hAnsi="Calibri" w:cs="Calibri"/>
          <w:sz w:val="24"/>
          <w:szCs w:val="24"/>
          <w14:ligatures w14:val="none"/>
        </w:rPr>
        <w:t>r</w:t>
      </w:r>
      <w:r w:rsidRPr="00D44E2B">
        <w:rPr>
          <w:rFonts w:ascii="Calibri" w:eastAsiaTheme="minorEastAsia" w:hAnsi="Calibri" w:cs="Calibri"/>
          <w:sz w:val="24"/>
          <w:szCs w:val="24"/>
          <w14:ligatures w14:val="none"/>
        </w:rPr>
        <w:t xml:space="preserve">iesgo </w:t>
      </w:r>
      <w:r w:rsidR="00280740">
        <w:rPr>
          <w:rFonts w:ascii="Calibri" w:eastAsiaTheme="minorEastAsia" w:hAnsi="Calibri" w:cs="Calibri"/>
          <w:sz w:val="24"/>
          <w:szCs w:val="24"/>
          <w14:ligatures w14:val="none"/>
        </w:rPr>
        <w:t>p</w:t>
      </w:r>
      <w:r w:rsidRPr="00D44E2B">
        <w:rPr>
          <w:rFonts w:ascii="Calibri" w:eastAsiaTheme="minorEastAsia" w:hAnsi="Calibri" w:cs="Calibri"/>
          <w:sz w:val="24"/>
          <w:szCs w:val="24"/>
          <w14:ligatures w14:val="none"/>
        </w:rPr>
        <w:t xml:space="preserve">aís y el </w:t>
      </w:r>
      <w:r w:rsidR="00280740">
        <w:rPr>
          <w:rFonts w:ascii="Calibri" w:eastAsiaTheme="minorEastAsia" w:hAnsi="Calibri" w:cs="Calibri"/>
          <w:sz w:val="24"/>
          <w:szCs w:val="24"/>
          <w14:ligatures w14:val="none"/>
        </w:rPr>
        <w:t>p</w:t>
      </w:r>
      <w:r w:rsidRPr="00D44E2B">
        <w:rPr>
          <w:rFonts w:ascii="Calibri" w:eastAsiaTheme="minorEastAsia" w:hAnsi="Calibri" w:cs="Calibri"/>
          <w:sz w:val="24"/>
          <w:szCs w:val="24"/>
          <w14:ligatures w14:val="none"/>
        </w:rPr>
        <w:t xml:space="preserve">atrimonio </w:t>
      </w:r>
      <w:r w:rsidR="00280740">
        <w:rPr>
          <w:rFonts w:ascii="Calibri" w:eastAsiaTheme="minorEastAsia" w:hAnsi="Calibri" w:cs="Calibri"/>
          <w:sz w:val="24"/>
          <w:szCs w:val="24"/>
          <w14:ligatures w14:val="none"/>
        </w:rPr>
        <w:t>m</w:t>
      </w:r>
      <w:r w:rsidR="001722A6">
        <w:rPr>
          <w:rFonts w:ascii="Calibri" w:eastAsiaTheme="minorEastAsia" w:hAnsi="Calibri" w:cs="Calibri"/>
          <w:sz w:val="24"/>
          <w:szCs w:val="24"/>
          <w14:ligatures w14:val="none"/>
        </w:rPr>
        <w:t>undial</w:t>
      </w:r>
      <w:r w:rsidRPr="00D44E2B">
        <w:rPr>
          <w:rFonts w:ascii="Calibri" w:eastAsiaTheme="minorEastAsia" w:hAnsi="Calibri" w:cs="Calibri"/>
          <w:sz w:val="24"/>
          <w:szCs w:val="24"/>
          <w14:ligatures w14:val="none"/>
        </w:rPr>
        <w:t xml:space="preserve"> no parecen tener efectos significativos en este modelo.</w:t>
      </w:r>
      <w:r w:rsidR="0063691F">
        <w:rPr>
          <w:rFonts w:ascii="Calibri" w:eastAsiaTheme="minorEastAsia" w:hAnsi="Calibri" w:cs="Calibri"/>
          <w:sz w:val="24"/>
          <w:szCs w:val="24"/>
          <w14:ligatures w14:val="none"/>
        </w:rPr>
        <w:t xml:space="preserve"> </w:t>
      </w:r>
    </w:p>
    <w:p w14:paraId="15D28912" w14:textId="77777777" w:rsidR="008D7C77" w:rsidRDefault="008D7C77" w:rsidP="003D0615">
      <w:pPr>
        <w:suppressAutoHyphens/>
        <w:spacing w:line="240" w:lineRule="auto"/>
        <w:ind w:firstLine="709"/>
        <w:jc w:val="both"/>
        <w:rPr>
          <w:rFonts w:ascii="Calibri" w:eastAsiaTheme="minorEastAsia" w:hAnsi="Calibri" w:cs="Calibri"/>
          <w:sz w:val="24"/>
          <w:szCs w:val="24"/>
          <w14:ligatures w14:val="none"/>
        </w:rPr>
      </w:pPr>
      <w:r w:rsidRPr="008D7C77">
        <w:rPr>
          <w:rFonts w:ascii="Calibri" w:eastAsiaTheme="minorEastAsia" w:hAnsi="Calibri" w:cs="Calibri"/>
          <w:sz w:val="24"/>
          <w:szCs w:val="24"/>
          <w14:ligatures w14:val="none"/>
        </w:rPr>
        <w:t>La hipótesis nula (H₀) sostiene que el coeficiente de la variable es igual a cero, es decir, no tiene efecto significativo sobre el número de visitas. La hipótesis alternativa (Hᵢ) plantea que el coeficiente es diferente de cero, lo que implica un efecto significativo sobre las visitas. Según el análisis estadístico, los resultados permiten rechazar la hipótesis nula y aceptar la alternativa, indicando que las variables analizadas sí influyen significativamente en el número de visitas</w:t>
      </w:r>
    </w:p>
    <w:p w14:paraId="7CA11BBF" w14:textId="028DD289" w:rsidR="00527EA9" w:rsidRPr="00D44E2B" w:rsidRDefault="007203E2" w:rsidP="003D0615">
      <w:pPr>
        <w:suppressAutoHyphens/>
        <w:spacing w:line="240" w:lineRule="auto"/>
        <w:ind w:firstLine="709"/>
        <w:rPr>
          <w:rFonts w:ascii="Calibri" w:hAnsi="Calibri" w:cs="Calibri"/>
          <w:b/>
          <w:bCs/>
          <w:kern w:val="0"/>
          <w:sz w:val="24"/>
          <w:szCs w:val="24"/>
          <w:lang w:val="es-ES"/>
          <w14:ligatures w14:val="none"/>
        </w:rPr>
      </w:pPr>
      <w:r>
        <w:rPr>
          <w:rFonts w:ascii="Calibri" w:hAnsi="Calibri" w:cs="Calibri"/>
          <w:b/>
          <w:bCs/>
          <w:kern w:val="0"/>
          <w:sz w:val="24"/>
          <w:szCs w:val="24"/>
          <w:lang w:val="es-ES"/>
          <w14:ligatures w14:val="none"/>
        </w:rPr>
        <w:t>4</w:t>
      </w:r>
      <w:r w:rsidR="0049583F" w:rsidRPr="00D44E2B">
        <w:rPr>
          <w:rFonts w:ascii="Calibri" w:hAnsi="Calibri" w:cs="Calibri"/>
          <w:b/>
          <w:bCs/>
          <w:kern w:val="0"/>
          <w:sz w:val="24"/>
          <w:szCs w:val="24"/>
          <w:lang w:val="es-ES"/>
          <w14:ligatures w14:val="none"/>
        </w:rPr>
        <w:t>. D</w:t>
      </w:r>
      <w:r w:rsidR="001722A6">
        <w:rPr>
          <w:rFonts w:ascii="Calibri" w:hAnsi="Calibri" w:cs="Calibri"/>
          <w:b/>
          <w:bCs/>
          <w:kern w:val="0"/>
          <w:sz w:val="24"/>
          <w:szCs w:val="24"/>
          <w:lang w:val="es-ES"/>
          <w14:ligatures w14:val="none"/>
        </w:rPr>
        <w:t>iscusión</w:t>
      </w:r>
    </w:p>
    <w:p w14:paraId="03B7E6E0" w14:textId="720BF1CE" w:rsidR="00B97339" w:rsidRPr="00B97339" w:rsidRDefault="008D7C77" w:rsidP="003D0615">
      <w:pPr>
        <w:suppressAutoHyphens/>
        <w:spacing w:line="240" w:lineRule="auto"/>
        <w:ind w:firstLine="709"/>
        <w:jc w:val="both"/>
        <w:rPr>
          <w:rFonts w:ascii="Calibri" w:hAnsi="Calibri" w:cs="Calibri"/>
          <w:kern w:val="0"/>
          <w:sz w:val="24"/>
          <w:szCs w:val="24"/>
          <w14:ligatures w14:val="none"/>
        </w:rPr>
      </w:pPr>
      <w:r w:rsidRPr="008D7C77">
        <w:rPr>
          <w:rFonts w:ascii="Calibri" w:hAnsi="Calibri" w:cs="Calibri"/>
          <w:kern w:val="0"/>
          <w:sz w:val="24"/>
          <w:szCs w:val="24"/>
          <w14:ligatures w14:val="none"/>
        </w:rPr>
        <w:t xml:space="preserve">El flujo turístico en la RBPGDA está influido por diversas variables, siendo el riesgo sanitario un factor clave. Durante la emergencia de 2020, el turismo disminuyó debido al cierre temporal de espacios como el Museo y Centro de Visitantes </w:t>
      </w:r>
      <w:proofErr w:type="spellStart"/>
      <w:r w:rsidRPr="008D7C77">
        <w:rPr>
          <w:rFonts w:ascii="Calibri" w:hAnsi="Calibri" w:cs="Calibri"/>
          <w:kern w:val="0"/>
          <w:sz w:val="24"/>
          <w:szCs w:val="24"/>
          <w14:ligatures w14:val="none"/>
        </w:rPr>
        <w:t>Schuk</w:t>
      </w:r>
      <w:proofErr w:type="spellEnd"/>
      <w:r w:rsidRPr="008D7C77">
        <w:rPr>
          <w:rFonts w:ascii="Calibri" w:hAnsi="Calibri" w:cs="Calibri"/>
          <w:kern w:val="0"/>
          <w:sz w:val="24"/>
          <w:szCs w:val="24"/>
          <w14:ligatures w14:val="none"/>
        </w:rPr>
        <w:t xml:space="preserve"> </w:t>
      </w:r>
      <w:proofErr w:type="spellStart"/>
      <w:r w:rsidRPr="008D7C77">
        <w:rPr>
          <w:rFonts w:ascii="Calibri" w:hAnsi="Calibri" w:cs="Calibri"/>
          <w:kern w:val="0"/>
          <w:sz w:val="24"/>
          <w:szCs w:val="24"/>
          <w14:ligatures w14:val="none"/>
        </w:rPr>
        <w:t>Toak</w:t>
      </w:r>
      <w:proofErr w:type="spellEnd"/>
      <w:r w:rsidRPr="008D7C77">
        <w:rPr>
          <w:rFonts w:ascii="Calibri" w:hAnsi="Calibri" w:cs="Calibri"/>
          <w:kern w:val="0"/>
          <w:sz w:val="24"/>
          <w:szCs w:val="24"/>
          <w14:ligatures w14:val="none"/>
        </w:rPr>
        <w:t>, y aunque posteriormente reabrieron, el impacto negativo del COVID-19 continuó afectando la afluencia. Los turistas suelen evitar destinos percibidos como riesgosos para la salud, optando por lugares cercanos ante amenazas sanitarias.</w:t>
      </w:r>
    </w:p>
    <w:p w14:paraId="234E667B" w14:textId="0C5094C1" w:rsidR="00B97339" w:rsidRPr="00B97339" w:rsidRDefault="00B97339" w:rsidP="003D0615">
      <w:pPr>
        <w:suppressAutoHyphens/>
        <w:spacing w:line="240" w:lineRule="auto"/>
        <w:ind w:firstLine="709"/>
        <w:jc w:val="both"/>
        <w:rPr>
          <w:rFonts w:ascii="Calibri" w:hAnsi="Calibri" w:cs="Calibri"/>
          <w:kern w:val="0"/>
          <w:sz w:val="24"/>
          <w:szCs w:val="24"/>
          <w14:ligatures w14:val="none"/>
        </w:rPr>
      </w:pPr>
      <w:r w:rsidRPr="00B97339">
        <w:rPr>
          <w:rFonts w:ascii="Calibri" w:hAnsi="Calibri" w:cs="Calibri"/>
          <w:kern w:val="0"/>
          <w:sz w:val="24"/>
          <w:szCs w:val="24"/>
          <w14:ligatures w14:val="none"/>
        </w:rPr>
        <w:t xml:space="preserve">Respecto al PIB turístico, los resultados concuerdan con Nava </w:t>
      </w:r>
      <w:r w:rsidRPr="00A00B81">
        <w:rPr>
          <w:rFonts w:ascii="Calibri" w:hAnsi="Calibri" w:cs="Calibri"/>
          <w:i/>
          <w:iCs/>
          <w:kern w:val="0"/>
          <w:sz w:val="24"/>
          <w:szCs w:val="24"/>
          <w14:ligatures w14:val="none"/>
        </w:rPr>
        <w:t>et al</w:t>
      </w:r>
      <w:r w:rsidRPr="00B97339">
        <w:rPr>
          <w:rFonts w:ascii="Calibri" w:hAnsi="Calibri" w:cs="Calibri"/>
          <w:kern w:val="0"/>
          <w:sz w:val="24"/>
          <w:szCs w:val="24"/>
          <w14:ligatures w14:val="none"/>
        </w:rPr>
        <w:t>. (</w:t>
      </w:r>
      <w:r w:rsidRPr="00B54313">
        <w:rPr>
          <w:rFonts w:ascii="Calibri" w:hAnsi="Calibri" w:cs="Calibri"/>
          <w:color w:val="C00000"/>
          <w:kern w:val="0"/>
          <w:sz w:val="24"/>
          <w:szCs w:val="24"/>
          <w14:ligatures w14:val="none"/>
        </w:rPr>
        <w:t>2017</w:t>
      </w:r>
      <w:r w:rsidRPr="00B97339">
        <w:rPr>
          <w:rFonts w:ascii="Calibri" w:hAnsi="Calibri" w:cs="Calibri"/>
          <w:kern w:val="0"/>
          <w:sz w:val="24"/>
          <w:szCs w:val="24"/>
          <w14:ligatures w14:val="none"/>
        </w:rPr>
        <w:t xml:space="preserve">) y </w:t>
      </w:r>
      <w:r w:rsidRPr="00B54313">
        <w:rPr>
          <w:rFonts w:ascii="Calibri" w:hAnsi="Calibri" w:cs="Calibri"/>
          <w:kern w:val="0"/>
          <w:sz w:val="24"/>
          <w:szCs w:val="24"/>
          <w14:ligatures w14:val="none"/>
        </w:rPr>
        <w:t xml:space="preserve">Brida </w:t>
      </w:r>
      <w:r w:rsidRPr="00B54313">
        <w:rPr>
          <w:rFonts w:ascii="Calibri" w:hAnsi="Calibri" w:cs="Calibri"/>
          <w:i/>
          <w:iCs/>
          <w:kern w:val="0"/>
          <w:sz w:val="24"/>
          <w:szCs w:val="24"/>
          <w14:ligatures w14:val="none"/>
        </w:rPr>
        <w:t>et al</w:t>
      </w:r>
      <w:r w:rsidRPr="00B54313">
        <w:rPr>
          <w:rFonts w:ascii="Calibri" w:hAnsi="Calibri" w:cs="Calibri"/>
          <w:kern w:val="0"/>
          <w:sz w:val="24"/>
          <w:szCs w:val="24"/>
          <w14:ligatures w14:val="none"/>
        </w:rPr>
        <w:t xml:space="preserve">. </w:t>
      </w:r>
      <w:r w:rsidRPr="007F241B">
        <w:rPr>
          <w:rFonts w:ascii="Calibri" w:hAnsi="Calibri" w:cs="Calibri"/>
          <w:color w:val="C00000"/>
          <w:kern w:val="0"/>
          <w:sz w:val="24"/>
          <w:szCs w:val="24"/>
          <w14:ligatures w14:val="none"/>
        </w:rPr>
        <w:t>(2020)</w:t>
      </w:r>
      <w:r w:rsidRPr="00B97339">
        <w:rPr>
          <w:rFonts w:ascii="Calibri" w:hAnsi="Calibri" w:cs="Calibri"/>
          <w:kern w:val="0"/>
          <w:sz w:val="24"/>
          <w:szCs w:val="24"/>
          <w14:ligatures w14:val="none"/>
        </w:rPr>
        <w:t xml:space="preserve">, quienes demostraron el impacto positivo del turismo en el PIB. En la RBPGDA, los </w:t>
      </w:r>
      <w:r w:rsidRPr="00B97339">
        <w:rPr>
          <w:rFonts w:ascii="Calibri" w:hAnsi="Calibri" w:cs="Calibri"/>
          <w:kern w:val="0"/>
          <w:sz w:val="24"/>
          <w:szCs w:val="24"/>
          <w14:ligatures w14:val="none"/>
        </w:rPr>
        <w:lastRenderedPageBreak/>
        <w:t xml:space="preserve">visitantes generan derrama económica en servicios turísticos locales, especialmente en </w:t>
      </w:r>
      <w:r w:rsidR="00AD7813">
        <w:rPr>
          <w:rFonts w:ascii="Calibri" w:hAnsi="Calibri" w:cs="Calibri"/>
          <w:kern w:val="0"/>
          <w:sz w:val="24"/>
          <w:szCs w:val="24"/>
          <w14:ligatures w14:val="none"/>
        </w:rPr>
        <w:t xml:space="preserve">la ciudad de </w:t>
      </w:r>
      <w:r w:rsidRPr="00B97339">
        <w:rPr>
          <w:rFonts w:ascii="Calibri" w:hAnsi="Calibri" w:cs="Calibri"/>
          <w:kern w:val="0"/>
          <w:sz w:val="24"/>
          <w:szCs w:val="24"/>
          <w14:ligatures w14:val="none"/>
        </w:rPr>
        <w:t>Puerto Peñasco.</w:t>
      </w:r>
    </w:p>
    <w:p w14:paraId="4C1E9A77" w14:textId="3B6B9BE4" w:rsidR="00B97339" w:rsidRPr="00B97339" w:rsidRDefault="00B97339" w:rsidP="003D0615">
      <w:pPr>
        <w:suppressAutoHyphens/>
        <w:spacing w:line="240" w:lineRule="auto"/>
        <w:ind w:firstLine="709"/>
        <w:jc w:val="both"/>
        <w:rPr>
          <w:rFonts w:ascii="Calibri" w:hAnsi="Calibri" w:cs="Calibri"/>
          <w:kern w:val="0"/>
          <w:sz w:val="24"/>
          <w:szCs w:val="24"/>
          <w14:ligatures w14:val="none"/>
        </w:rPr>
      </w:pPr>
      <w:r w:rsidRPr="00B97339">
        <w:rPr>
          <w:rFonts w:ascii="Calibri" w:hAnsi="Calibri" w:cs="Calibri"/>
          <w:kern w:val="0"/>
          <w:sz w:val="24"/>
          <w:szCs w:val="24"/>
          <w14:ligatures w14:val="none"/>
        </w:rPr>
        <w:t xml:space="preserve">La variable ingreso del hogar también es relevante, en línea </w:t>
      </w:r>
      <w:r w:rsidRPr="00B54313">
        <w:rPr>
          <w:rFonts w:ascii="Calibri" w:hAnsi="Calibri" w:cs="Calibri"/>
          <w:kern w:val="0"/>
          <w:sz w:val="24"/>
          <w:szCs w:val="24"/>
          <w14:ligatures w14:val="none"/>
        </w:rPr>
        <w:t xml:space="preserve">con </w:t>
      </w:r>
      <w:proofErr w:type="spellStart"/>
      <w:r w:rsidRPr="00B54313">
        <w:rPr>
          <w:rFonts w:ascii="Calibri" w:hAnsi="Calibri" w:cs="Calibri"/>
          <w:kern w:val="0"/>
          <w:sz w:val="24"/>
          <w:szCs w:val="24"/>
          <w14:ligatures w14:val="none"/>
        </w:rPr>
        <w:t>Dougan</w:t>
      </w:r>
      <w:proofErr w:type="spellEnd"/>
      <w:r w:rsidRPr="00B54313">
        <w:rPr>
          <w:rFonts w:ascii="Calibri" w:hAnsi="Calibri" w:cs="Calibri"/>
          <w:kern w:val="0"/>
          <w:sz w:val="24"/>
          <w:szCs w:val="24"/>
          <w14:ligatures w14:val="none"/>
        </w:rPr>
        <w:t xml:space="preserve"> (</w:t>
      </w:r>
      <w:r w:rsidRPr="00465BE7">
        <w:rPr>
          <w:rFonts w:ascii="Calibri" w:hAnsi="Calibri" w:cs="Calibri"/>
          <w:color w:val="C00000"/>
          <w:kern w:val="0"/>
          <w:sz w:val="24"/>
          <w:szCs w:val="24"/>
          <w14:ligatures w14:val="none"/>
        </w:rPr>
        <w:t>2007</w:t>
      </w:r>
      <w:r w:rsidRPr="00B54313">
        <w:rPr>
          <w:rFonts w:ascii="Calibri" w:hAnsi="Calibri" w:cs="Calibri"/>
          <w:kern w:val="0"/>
          <w:sz w:val="24"/>
          <w:szCs w:val="24"/>
          <w14:ligatures w14:val="none"/>
        </w:rPr>
        <w:t>)</w:t>
      </w:r>
      <w:r w:rsidRPr="00465BE7">
        <w:rPr>
          <w:rFonts w:ascii="Calibri" w:hAnsi="Calibri" w:cs="Calibri"/>
          <w:color w:val="C00000"/>
          <w:kern w:val="0"/>
          <w:sz w:val="24"/>
          <w:szCs w:val="24"/>
          <w14:ligatures w14:val="none"/>
        </w:rPr>
        <w:t xml:space="preserve"> </w:t>
      </w:r>
      <w:r w:rsidRPr="00B97339">
        <w:rPr>
          <w:rFonts w:ascii="Calibri" w:hAnsi="Calibri" w:cs="Calibri"/>
          <w:kern w:val="0"/>
          <w:sz w:val="24"/>
          <w:szCs w:val="24"/>
          <w14:ligatures w14:val="none"/>
        </w:rPr>
        <w:t xml:space="preserve">y </w:t>
      </w:r>
      <w:proofErr w:type="spellStart"/>
      <w:r w:rsidRPr="00B97339">
        <w:rPr>
          <w:rFonts w:ascii="Calibri" w:hAnsi="Calibri" w:cs="Calibri"/>
          <w:kern w:val="0"/>
          <w:sz w:val="24"/>
          <w:szCs w:val="24"/>
          <w14:ligatures w14:val="none"/>
        </w:rPr>
        <w:t>Paci</w:t>
      </w:r>
      <w:proofErr w:type="spellEnd"/>
      <w:r w:rsidRPr="00B97339">
        <w:rPr>
          <w:rFonts w:ascii="Calibri" w:hAnsi="Calibri" w:cs="Calibri"/>
          <w:kern w:val="0"/>
          <w:sz w:val="24"/>
          <w:szCs w:val="24"/>
          <w14:ligatures w14:val="none"/>
        </w:rPr>
        <w:t xml:space="preserve"> </w:t>
      </w:r>
      <w:r w:rsidR="001450C7">
        <w:rPr>
          <w:rFonts w:ascii="Calibri" w:hAnsi="Calibri" w:cs="Calibri"/>
          <w:kern w:val="0"/>
          <w:sz w:val="24"/>
          <w:szCs w:val="24"/>
          <w14:ligatures w14:val="none"/>
        </w:rPr>
        <w:t>&amp;</w:t>
      </w:r>
      <w:r w:rsidRPr="00B97339">
        <w:rPr>
          <w:rFonts w:ascii="Calibri" w:hAnsi="Calibri" w:cs="Calibri"/>
          <w:kern w:val="0"/>
          <w:sz w:val="24"/>
          <w:szCs w:val="24"/>
          <w14:ligatures w14:val="none"/>
        </w:rPr>
        <w:t xml:space="preserve"> </w:t>
      </w:r>
      <w:proofErr w:type="spellStart"/>
      <w:r w:rsidRPr="00B97339">
        <w:rPr>
          <w:rFonts w:ascii="Calibri" w:hAnsi="Calibri" w:cs="Calibri"/>
          <w:kern w:val="0"/>
          <w:sz w:val="24"/>
          <w:szCs w:val="24"/>
          <w14:ligatures w14:val="none"/>
        </w:rPr>
        <w:t>Marrocu</w:t>
      </w:r>
      <w:proofErr w:type="spellEnd"/>
      <w:r w:rsidRPr="00B97339">
        <w:rPr>
          <w:rFonts w:ascii="Calibri" w:hAnsi="Calibri" w:cs="Calibri"/>
          <w:kern w:val="0"/>
          <w:sz w:val="24"/>
          <w:szCs w:val="24"/>
          <w14:ligatures w14:val="none"/>
        </w:rPr>
        <w:t xml:space="preserve"> (</w:t>
      </w:r>
      <w:r w:rsidRPr="001450C7">
        <w:rPr>
          <w:rFonts w:ascii="Calibri" w:hAnsi="Calibri" w:cs="Calibri"/>
          <w:color w:val="C00000"/>
          <w:kern w:val="0"/>
          <w:sz w:val="24"/>
          <w:szCs w:val="24"/>
          <w14:ligatures w14:val="none"/>
        </w:rPr>
        <w:t>2013</w:t>
      </w:r>
      <w:r w:rsidRPr="00B97339">
        <w:rPr>
          <w:rFonts w:ascii="Calibri" w:hAnsi="Calibri" w:cs="Calibri"/>
          <w:kern w:val="0"/>
          <w:sz w:val="24"/>
          <w:szCs w:val="24"/>
          <w14:ligatures w14:val="none"/>
        </w:rPr>
        <w:t>), quienes identifican el ingreso como determinante en la elección de destinos turísticos. En la RBPGDA, predominan visitantes nacionales, lo que refleja la relación entre ingreso y capacidad para viajar a destinos lejanos.</w:t>
      </w:r>
    </w:p>
    <w:p w14:paraId="46F6098B" w14:textId="6B957FCD" w:rsidR="00B97339" w:rsidRPr="00B97339" w:rsidRDefault="00B97339" w:rsidP="003D0615">
      <w:pPr>
        <w:suppressAutoHyphens/>
        <w:spacing w:line="240" w:lineRule="auto"/>
        <w:ind w:firstLine="709"/>
        <w:jc w:val="both"/>
        <w:rPr>
          <w:rFonts w:ascii="Calibri" w:hAnsi="Calibri" w:cs="Calibri"/>
          <w:kern w:val="0"/>
          <w:sz w:val="24"/>
          <w:szCs w:val="24"/>
          <w14:ligatures w14:val="none"/>
        </w:rPr>
      </w:pPr>
      <w:r w:rsidRPr="00B97339">
        <w:rPr>
          <w:rFonts w:ascii="Calibri" w:hAnsi="Calibri" w:cs="Calibri"/>
          <w:kern w:val="0"/>
          <w:sz w:val="24"/>
          <w:szCs w:val="24"/>
          <w14:ligatures w14:val="none"/>
        </w:rPr>
        <w:t xml:space="preserve">La variable vacaciones es significativa, explicada por la estacionalidad del turismo </w:t>
      </w:r>
      <w:r w:rsidRPr="00B54313">
        <w:rPr>
          <w:rFonts w:ascii="Calibri" w:hAnsi="Calibri" w:cs="Calibri"/>
          <w:kern w:val="0"/>
          <w:sz w:val="24"/>
          <w:szCs w:val="24"/>
          <w14:ligatures w14:val="none"/>
        </w:rPr>
        <w:t>(</w:t>
      </w:r>
      <w:proofErr w:type="spellStart"/>
      <w:r w:rsidRPr="00B54313">
        <w:rPr>
          <w:rFonts w:ascii="Calibri" w:hAnsi="Calibri" w:cs="Calibri"/>
          <w:kern w:val="0"/>
          <w:sz w:val="24"/>
          <w:szCs w:val="24"/>
          <w14:ligatures w14:val="none"/>
        </w:rPr>
        <w:t>Allcock</w:t>
      </w:r>
      <w:proofErr w:type="spellEnd"/>
      <w:r w:rsidRPr="008C5104">
        <w:rPr>
          <w:rFonts w:ascii="Calibri" w:hAnsi="Calibri" w:cs="Calibri"/>
          <w:color w:val="C00000"/>
          <w:kern w:val="0"/>
          <w:sz w:val="24"/>
          <w:szCs w:val="24"/>
          <w14:ligatures w14:val="none"/>
        </w:rPr>
        <w:t>, 1994</w:t>
      </w:r>
      <w:r w:rsidRPr="00B54313">
        <w:rPr>
          <w:rFonts w:ascii="Calibri" w:hAnsi="Calibri" w:cs="Calibri"/>
          <w:kern w:val="0"/>
          <w:sz w:val="24"/>
          <w:szCs w:val="24"/>
          <w14:ligatures w14:val="none"/>
        </w:rPr>
        <w:t>)</w:t>
      </w:r>
      <w:r w:rsidRPr="008C5104">
        <w:rPr>
          <w:rFonts w:ascii="Calibri" w:hAnsi="Calibri" w:cs="Calibri"/>
          <w:color w:val="C00000"/>
          <w:kern w:val="0"/>
          <w:sz w:val="24"/>
          <w:szCs w:val="24"/>
          <w14:ligatures w14:val="none"/>
        </w:rPr>
        <w:t xml:space="preserve"> </w:t>
      </w:r>
      <w:r w:rsidRPr="00B97339">
        <w:rPr>
          <w:rFonts w:ascii="Calibri" w:hAnsi="Calibri" w:cs="Calibri"/>
          <w:kern w:val="0"/>
          <w:sz w:val="24"/>
          <w:szCs w:val="24"/>
          <w14:ligatures w14:val="none"/>
        </w:rPr>
        <w:t xml:space="preserve">y la proximidad a destinos de sol y playa, con mayor afluencia de visitantes nacionales en Semana Santa y verano, y de extranjeros en invierno. La inflación también influye, ya que afecta el flujo turístico según la apreciación o depreciación de la moneda, como señalan Jiménez </w:t>
      </w:r>
      <w:r w:rsidRPr="00A00B81">
        <w:rPr>
          <w:rFonts w:ascii="Calibri" w:hAnsi="Calibri" w:cs="Calibri"/>
          <w:i/>
          <w:iCs/>
          <w:kern w:val="0"/>
          <w:sz w:val="24"/>
          <w:szCs w:val="24"/>
          <w14:ligatures w14:val="none"/>
        </w:rPr>
        <w:t>et al</w:t>
      </w:r>
      <w:r w:rsidRPr="00B97339">
        <w:rPr>
          <w:rFonts w:ascii="Calibri" w:hAnsi="Calibri" w:cs="Calibri"/>
          <w:kern w:val="0"/>
          <w:sz w:val="24"/>
          <w:szCs w:val="24"/>
          <w14:ligatures w14:val="none"/>
        </w:rPr>
        <w:t>. (</w:t>
      </w:r>
      <w:r w:rsidRPr="00BA6E22">
        <w:rPr>
          <w:rFonts w:ascii="Calibri" w:hAnsi="Calibri" w:cs="Calibri"/>
          <w:color w:val="C00000"/>
          <w:kern w:val="0"/>
          <w:sz w:val="24"/>
          <w:szCs w:val="24"/>
          <w14:ligatures w14:val="none"/>
        </w:rPr>
        <w:t>2017</w:t>
      </w:r>
      <w:r w:rsidRPr="00B97339">
        <w:rPr>
          <w:rFonts w:ascii="Calibri" w:hAnsi="Calibri" w:cs="Calibri"/>
          <w:kern w:val="0"/>
          <w:sz w:val="24"/>
          <w:szCs w:val="24"/>
          <w14:ligatures w14:val="none"/>
        </w:rPr>
        <w:t xml:space="preserve">) y </w:t>
      </w:r>
      <w:r w:rsidRPr="00B54313">
        <w:rPr>
          <w:rFonts w:ascii="Calibri" w:hAnsi="Calibri" w:cs="Calibri"/>
          <w:kern w:val="0"/>
          <w:sz w:val="24"/>
          <w:szCs w:val="24"/>
          <w14:ligatures w14:val="none"/>
        </w:rPr>
        <w:t>Álvarez</w:t>
      </w:r>
      <w:r w:rsidR="000C5FCE" w:rsidRPr="00B54313">
        <w:rPr>
          <w:rFonts w:ascii="Calibri" w:hAnsi="Calibri" w:cs="Calibri"/>
          <w:kern w:val="0"/>
          <w:sz w:val="24"/>
          <w:szCs w:val="24"/>
          <w14:ligatures w14:val="none"/>
        </w:rPr>
        <w:t>-Díaz</w:t>
      </w:r>
      <w:r w:rsidRPr="00B54313">
        <w:rPr>
          <w:rFonts w:ascii="Calibri" w:hAnsi="Calibri" w:cs="Calibri"/>
          <w:kern w:val="0"/>
          <w:sz w:val="24"/>
          <w:szCs w:val="24"/>
          <w14:ligatures w14:val="none"/>
        </w:rPr>
        <w:t xml:space="preserve"> </w:t>
      </w:r>
      <w:r w:rsidRPr="00B54313">
        <w:rPr>
          <w:rFonts w:ascii="Calibri" w:hAnsi="Calibri" w:cs="Calibri"/>
          <w:i/>
          <w:iCs/>
          <w:kern w:val="0"/>
          <w:sz w:val="24"/>
          <w:szCs w:val="24"/>
          <w14:ligatures w14:val="none"/>
        </w:rPr>
        <w:t>et al</w:t>
      </w:r>
      <w:r w:rsidRPr="00B54313">
        <w:rPr>
          <w:rFonts w:ascii="Calibri" w:hAnsi="Calibri" w:cs="Calibri"/>
          <w:kern w:val="0"/>
          <w:sz w:val="24"/>
          <w:szCs w:val="24"/>
          <w14:ligatures w14:val="none"/>
        </w:rPr>
        <w:t>. (</w:t>
      </w:r>
      <w:r w:rsidRPr="000C5FCE">
        <w:rPr>
          <w:rFonts w:ascii="Calibri" w:hAnsi="Calibri" w:cs="Calibri"/>
          <w:color w:val="C00000"/>
          <w:kern w:val="0"/>
          <w:sz w:val="24"/>
          <w:szCs w:val="24"/>
          <w14:ligatures w14:val="none"/>
        </w:rPr>
        <w:t>2016</w:t>
      </w:r>
      <w:r w:rsidRPr="00B54313">
        <w:rPr>
          <w:rFonts w:ascii="Calibri" w:hAnsi="Calibri" w:cs="Calibri"/>
          <w:kern w:val="0"/>
          <w:sz w:val="24"/>
          <w:szCs w:val="24"/>
          <w14:ligatures w14:val="none"/>
        </w:rPr>
        <w:t>)</w:t>
      </w:r>
      <w:r w:rsidRPr="00B97339">
        <w:rPr>
          <w:rFonts w:ascii="Calibri" w:hAnsi="Calibri" w:cs="Calibri"/>
          <w:kern w:val="0"/>
          <w:sz w:val="24"/>
          <w:szCs w:val="24"/>
          <w14:ligatures w14:val="none"/>
        </w:rPr>
        <w:t>.</w:t>
      </w:r>
    </w:p>
    <w:p w14:paraId="4A1985BF" w14:textId="69034ED1" w:rsidR="00B97339" w:rsidRDefault="00B97339" w:rsidP="003D0615">
      <w:pPr>
        <w:suppressAutoHyphens/>
        <w:spacing w:line="240" w:lineRule="auto"/>
        <w:ind w:firstLine="709"/>
        <w:jc w:val="both"/>
        <w:rPr>
          <w:rFonts w:ascii="Calibri" w:hAnsi="Calibri" w:cs="Calibri"/>
          <w:kern w:val="0"/>
          <w:sz w:val="24"/>
          <w:szCs w:val="24"/>
          <w14:ligatures w14:val="none"/>
        </w:rPr>
      </w:pPr>
      <w:r w:rsidRPr="00B97339">
        <w:rPr>
          <w:rFonts w:ascii="Calibri" w:hAnsi="Calibri" w:cs="Calibri"/>
          <w:kern w:val="0"/>
          <w:sz w:val="24"/>
          <w:szCs w:val="24"/>
          <w14:ligatures w14:val="none"/>
        </w:rPr>
        <w:t xml:space="preserve">Por otro lado, la variable </w:t>
      </w:r>
      <w:r w:rsidR="00E460D9">
        <w:rPr>
          <w:rFonts w:ascii="Calibri" w:hAnsi="Calibri" w:cs="Calibri"/>
          <w:kern w:val="0"/>
          <w:sz w:val="24"/>
          <w:szCs w:val="24"/>
          <w14:ligatures w14:val="none"/>
        </w:rPr>
        <w:t>r</w:t>
      </w:r>
      <w:r w:rsidRPr="00013E79">
        <w:rPr>
          <w:rFonts w:ascii="Calibri" w:hAnsi="Calibri" w:cs="Calibri"/>
          <w:kern w:val="0"/>
          <w:sz w:val="24"/>
          <w:szCs w:val="24"/>
          <w14:ligatures w14:val="none"/>
        </w:rPr>
        <w:t xml:space="preserve">iesgo </w:t>
      </w:r>
      <w:r w:rsidR="00E460D9">
        <w:rPr>
          <w:rFonts w:ascii="Calibri" w:hAnsi="Calibri" w:cs="Calibri"/>
          <w:kern w:val="0"/>
          <w:sz w:val="24"/>
          <w:szCs w:val="24"/>
          <w14:ligatures w14:val="none"/>
        </w:rPr>
        <w:t>p</w:t>
      </w:r>
      <w:r w:rsidRPr="00013E79">
        <w:rPr>
          <w:rFonts w:ascii="Calibri" w:hAnsi="Calibri" w:cs="Calibri"/>
          <w:kern w:val="0"/>
          <w:sz w:val="24"/>
          <w:szCs w:val="24"/>
          <w14:ligatures w14:val="none"/>
        </w:rPr>
        <w:t>aís</w:t>
      </w:r>
      <w:r w:rsidRPr="00B97339">
        <w:rPr>
          <w:rFonts w:ascii="Calibri" w:hAnsi="Calibri" w:cs="Calibri"/>
          <w:kern w:val="0"/>
          <w:sz w:val="24"/>
          <w:szCs w:val="24"/>
          <w14:ligatures w14:val="none"/>
        </w:rPr>
        <w:t xml:space="preserve"> mostró el signo </w:t>
      </w:r>
      <w:r w:rsidR="00AA3E60" w:rsidRPr="00B97339">
        <w:rPr>
          <w:rFonts w:ascii="Calibri" w:hAnsi="Calibri" w:cs="Calibri"/>
          <w:kern w:val="0"/>
          <w:sz w:val="24"/>
          <w:szCs w:val="24"/>
          <w14:ligatures w14:val="none"/>
        </w:rPr>
        <w:t>esperado,</w:t>
      </w:r>
      <w:r w:rsidRPr="00B97339">
        <w:rPr>
          <w:rFonts w:ascii="Calibri" w:hAnsi="Calibri" w:cs="Calibri"/>
          <w:kern w:val="0"/>
          <w:sz w:val="24"/>
          <w:szCs w:val="24"/>
          <w14:ligatures w14:val="none"/>
        </w:rPr>
        <w:t xml:space="preserve"> pero no fue significativa, al igual que patrimonio mundial, posiblemente por el número limitado de observaciones y el efecto de la pandemia. Finalmente, la confianza del consumidor fue significativa, aunque con un signo contrario al esperado.</w:t>
      </w:r>
    </w:p>
    <w:p w14:paraId="1EABD109" w14:textId="502CD577" w:rsidR="0049583F" w:rsidRPr="00D44E2B" w:rsidRDefault="007203E2" w:rsidP="003D0615">
      <w:pPr>
        <w:suppressAutoHyphens/>
        <w:spacing w:line="240" w:lineRule="auto"/>
        <w:ind w:firstLine="709"/>
        <w:jc w:val="both"/>
        <w:rPr>
          <w:rFonts w:ascii="Calibri" w:hAnsi="Calibri" w:cs="Calibri"/>
          <w:b/>
          <w:bCs/>
          <w:kern w:val="0"/>
          <w:sz w:val="24"/>
          <w:szCs w:val="24"/>
          <w:lang w:val="es-ES"/>
          <w14:ligatures w14:val="none"/>
        </w:rPr>
      </w:pPr>
      <w:r>
        <w:rPr>
          <w:rFonts w:ascii="Calibri" w:hAnsi="Calibri" w:cs="Calibri"/>
          <w:b/>
          <w:bCs/>
          <w:kern w:val="0"/>
          <w:sz w:val="24"/>
          <w:szCs w:val="24"/>
          <w:lang w:val="es-ES"/>
          <w14:ligatures w14:val="none"/>
        </w:rPr>
        <w:t xml:space="preserve">5. </w:t>
      </w:r>
      <w:r w:rsidR="0049583F" w:rsidRPr="00D44E2B">
        <w:rPr>
          <w:rFonts w:ascii="Calibri" w:hAnsi="Calibri" w:cs="Calibri"/>
          <w:b/>
          <w:bCs/>
          <w:kern w:val="0"/>
          <w:sz w:val="24"/>
          <w:szCs w:val="24"/>
          <w:lang w:val="es-ES"/>
          <w14:ligatures w14:val="none"/>
        </w:rPr>
        <w:t>C</w:t>
      </w:r>
      <w:r w:rsidR="00697B87">
        <w:rPr>
          <w:rFonts w:ascii="Calibri" w:hAnsi="Calibri" w:cs="Calibri"/>
          <w:b/>
          <w:bCs/>
          <w:kern w:val="0"/>
          <w:sz w:val="24"/>
          <w:szCs w:val="24"/>
          <w:lang w:val="es-ES"/>
          <w14:ligatures w14:val="none"/>
        </w:rPr>
        <w:t>onclusiones</w:t>
      </w:r>
    </w:p>
    <w:p w14:paraId="11001BE7" w14:textId="1533BEE6" w:rsidR="00B97339" w:rsidRPr="00B97339" w:rsidRDefault="00B97339" w:rsidP="003D0615">
      <w:pPr>
        <w:suppressAutoHyphens/>
        <w:spacing w:line="240" w:lineRule="auto"/>
        <w:ind w:firstLine="709"/>
        <w:jc w:val="both"/>
        <w:rPr>
          <w:rFonts w:ascii="Calibri" w:hAnsi="Calibri" w:cs="Calibri"/>
          <w:kern w:val="0"/>
          <w:sz w:val="24"/>
          <w:szCs w:val="24"/>
          <w:lang w:val="es-ES"/>
          <w14:ligatures w14:val="none"/>
        </w:rPr>
      </w:pPr>
      <w:r w:rsidRPr="00B97339">
        <w:rPr>
          <w:rFonts w:ascii="Calibri" w:hAnsi="Calibri" w:cs="Calibri"/>
          <w:kern w:val="0"/>
          <w:sz w:val="24"/>
          <w:szCs w:val="24"/>
          <w:lang w:val="es-ES"/>
          <w14:ligatures w14:val="none"/>
        </w:rPr>
        <w:t>Durante el periodo 2009–2021, los principales factores que determinaron el flujo turístico en la RBPGDA fueron el PIB turístico, la pandemia de COVID-19, la inflación y los períodos vacacionales. Se observó que el tipo de turista varía según la temporada, destacando la presencia de visitantes nacionales en vacaciones como Semana Santa y verano, y extranjeros en invierno. Aunque se incorporaron nuevas variables teóricamente relevantes, estas no resultaron significativas, posiblemente por el número limitado de observaciones; por ello, se recomienda ampliar la muestra y considerar variables adicionales que puedan explicar mejor la demanda turística, como la inversión en promoción turística estatal.</w:t>
      </w:r>
    </w:p>
    <w:p w14:paraId="175EC73C" w14:textId="4C9301CD" w:rsidR="00B97339" w:rsidRDefault="00B97339" w:rsidP="003D0615">
      <w:pPr>
        <w:suppressAutoHyphens/>
        <w:spacing w:line="240" w:lineRule="auto"/>
        <w:ind w:firstLine="709"/>
        <w:jc w:val="both"/>
        <w:rPr>
          <w:rFonts w:ascii="Calibri" w:hAnsi="Calibri" w:cs="Calibri"/>
          <w:kern w:val="0"/>
          <w:sz w:val="24"/>
          <w:szCs w:val="24"/>
          <w:lang w:val="es-ES"/>
          <w14:ligatures w14:val="none"/>
        </w:rPr>
      </w:pPr>
      <w:r w:rsidRPr="00B97339">
        <w:rPr>
          <w:rFonts w:ascii="Calibri" w:hAnsi="Calibri" w:cs="Calibri"/>
          <w:kern w:val="0"/>
          <w:sz w:val="24"/>
          <w:szCs w:val="24"/>
          <w:lang w:val="es-ES"/>
          <w14:ligatures w14:val="none"/>
        </w:rPr>
        <w:t xml:space="preserve">Para futuras investigaciones, se sugiere analizar el flujo turístico por origen y rango de edad, así como desarrollar modelos con variables centradas en las características individuales de los visitantes. Los resultados de este estudio son útiles para la gestión del </w:t>
      </w:r>
      <w:r w:rsidR="00A00B81">
        <w:rPr>
          <w:rFonts w:ascii="Calibri" w:hAnsi="Calibri" w:cs="Calibri"/>
          <w:kern w:val="0"/>
          <w:sz w:val="24"/>
          <w:szCs w:val="24"/>
          <w:lang w:val="es-ES"/>
          <w14:ligatures w14:val="none"/>
        </w:rPr>
        <w:t>Á</w:t>
      </w:r>
      <w:r w:rsidRPr="00B97339">
        <w:rPr>
          <w:rFonts w:ascii="Calibri" w:hAnsi="Calibri" w:cs="Calibri"/>
          <w:kern w:val="0"/>
          <w:sz w:val="24"/>
          <w:szCs w:val="24"/>
          <w:lang w:val="es-ES"/>
          <w14:ligatures w14:val="none"/>
        </w:rPr>
        <w:t xml:space="preserve">rea </w:t>
      </w:r>
      <w:r w:rsidR="00A00B81">
        <w:rPr>
          <w:rFonts w:ascii="Calibri" w:hAnsi="Calibri" w:cs="Calibri"/>
          <w:kern w:val="0"/>
          <w:sz w:val="24"/>
          <w:szCs w:val="24"/>
          <w:lang w:val="es-ES"/>
          <w14:ligatures w14:val="none"/>
        </w:rPr>
        <w:t>N</w:t>
      </w:r>
      <w:r w:rsidRPr="00B97339">
        <w:rPr>
          <w:rFonts w:ascii="Calibri" w:hAnsi="Calibri" w:cs="Calibri"/>
          <w:kern w:val="0"/>
          <w:sz w:val="24"/>
          <w:szCs w:val="24"/>
          <w:lang w:val="es-ES"/>
          <w14:ligatures w14:val="none"/>
        </w:rPr>
        <w:t xml:space="preserve">atural </w:t>
      </w:r>
      <w:r w:rsidR="00A00B81">
        <w:rPr>
          <w:rFonts w:ascii="Calibri" w:hAnsi="Calibri" w:cs="Calibri"/>
          <w:kern w:val="0"/>
          <w:sz w:val="24"/>
          <w:szCs w:val="24"/>
          <w:lang w:val="es-ES"/>
          <w14:ligatures w14:val="none"/>
        </w:rPr>
        <w:t>P</w:t>
      </w:r>
      <w:r w:rsidRPr="00B97339">
        <w:rPr>
          <w:rFonts w:ascii="Calibri" w:hAnsi="Calibri" w:cs="Calibri"/>
          <w:kern w:val="0"/>
          <w:sz w:val="24"/>
          <w:szCs w:val="24"/>
          <w:lang w:val="es-ES"/>
          <w14:ligatures w14:val="none"/>
        </w:rPr>
        <w:t>rotegida, ya que permiten anticipar y planificar la llegada de turistas, contribuyendo a respetar la capacidad de carga y a mitigar el impacto ambiental. Esta información puede complementar el Programa de Manejo de la RBPGDA, facilitando una gestión más eficiente y sostenible del turismo en la región</w:t>
      </w:r>
      <w:r w:rsidR="00A00B81">
        <w:rPr>
          <w:rFonts w:ascii="Calibri" w:hAnsi="Calibri" w:cs="Calibri"/>
          <w:kern w:val="0"/>
          <w:sz w:val="24"/>
          <w:szCs w:val="24"/>
          <w:lang w:val="es-ES"/>
          <w14:ligatures w14:val="none"/>
        </w:rPr>
        <w:t>.</w:t>
      </w:r>
    </w:p>
    <w:p w14:paraId="2C802B79" w14:textId="77777777" w:rsidR="003C4823" w:rsidRDefault="003C4823" w:rsidP="003D0615">
      <w:pPr>
        <w:suppressAutoHyphens/>
        <w:spacing w:line="240" w:lineRule="auto"/>
        <w:rPr>
          <w:rFonts w:ascii="Calibri" w:hAnsi="Calibri" w:cs="Calibri"/>
          <w:b/>
          <w:bCs/>
          <w:kern w:val="0"/>
          <w:sz w:val="24"/>
          <w:szCs w:val="24"/>
          <w:lang w:val="es-ES"/>
          <w14:ligatures w14:val="none"/>
        </w:rPr>
      </w:pPr>
    </w:p>
    <w:p w14:paraId="7EDD5071" w14:textId="77777777" w:rsidR="003C4823" w:rsidRDefault="003C4823" w:rsidP="003D0615">
      <w:pPr>
        <w:suppressAutoHyphens/>
        <w:spacing w:line="240" w:lineRule="auto"/>
        <w:rPr>
          <w:rFonts w:ascii="Calibri" w:hAnsi="Calibri" w:cs="Calibri"/>
          <w:b/>
          <w:bCs/>
          <w:kern w:val="0"/>
          <w:sz w:val="24"/>
          <w:szCs w:val="24"/>
          <w:lang w:val="es-ES"/>
          <w14:ligatures w14:val="none"/>
        </w:rPr>
      </w:pPr>
    </w:p>
    <w:p w14:paraId="1453A45E" w14:textId="77777777" w:rsidR="003C4823" w:rsidRDefault="003C4823" w:rsidP="003D0615">
      <w:pPr>
        <w:suppressAutoHyphens/>
        <w:spacing w:line="240" w:lineRule="auto"/>
        <w:rPr>
          <w:rFonts w:ascii="Calibri" w:hAnsi="Calibri" w:cs="Calibri"/>
          <w:b/>
          <w:bCs/>
          <w:kern w:val="0"/>
          <w:sz w:val="24"/>
          <w:szCs w:val="24"/>
          <w:lang w:val="es-ES"/>
          <w14:ligatures w14:val="none"/>
        </w:rPr>
      </w:pPr>
    </w:p>
    <w:p w14:paraId="3D976E97" w14:textId="24F634C8" w:rsidR="0049583F" w:rsidRPr="00D44E2B" w:rsidRDefault="0049583F" w:rsidP="003D0615">
      <w:pPr>
        <w:suppressAutoHyphens/>
        <w:spacing w:line="240" w:lineRule="auto"/>
        <w:rPr>
          <w:rFonts w:ascii="Calibri" w:hAnsi="Calibri" w:cs="Calibri"/>
          <w:b/>
          <w:bCs/>
          <w:kern w:val="0"/>
          <w:sz w:val="24"/>
          <w:szCs w:val="24"/>
          <w:lang w:val="es-ES"/>
          <w14:ligatures w14:val="none"/>
        </w:rPr>
      </w:pPr>
      <w:r w:rsidRPr="00D44E2B">
        <w:rPr>
          <w:rFonts w:ascii="Calibri" w:hAnsi="Calibri" w:cs="Calibri"/>
          <w:b/>
          <w:bCs/>
          <w:kern w:val="0"/>
          <w:sz w:val="24"/>
          <w:szCs w:val="24"/>
          <w:lang w:val="es-ES"/>
          <w14:ligatures w14:val="none"/>
        </w:rPr>
        <w:lastRenderedPageBreak/>
        <w:t>A</w:t>
      </w:r>
      <w:r w:rsidR="00FA4146">
        <w:rPr>
          <w:rFonts w:ascii="Calibri" w:hAnsi="Calibri" w:cs="Calibri"/>
          <w:b/>
          <w:bCs/>
          <w:kern w:val="0"/>
          <w:sz w:val="24"/>
          <w:szCs w:val="24"/>
          <w:lang w:val="es-ES"/>
          <w14:ligatures w14:val="none"/>
        </w:rPr>
        <w:t>gradecimientos</w:t>
      </w:r>
    </w:p>
    <w:p w14:paraId="755EED0A" w14:textId="77777777" w:rsidR="0049583F" w:rsidRPr="00D44E2B" w:rsidRDefault="0049583F" w:rsidP="003D0615">
      <w:pPr>
        <w:suppressAutoHyphens/>
        <w:spacing w:line="240" w:lineRule="auto"/>
        <w:ind w:firstLine="709"/>
        <w:jc w:val="both"/>
        <w:rPr>
          <w:rFonts w:ascii="Calibri" w:hAnsi="Calibri" w:cs="Calibri"/>
          <w:kern w:val="0"/>
          <w:sz w:val="24"/>
          <w:szCs w:val="24"/>
          <w:lang w:val="es-ES"/>
          <w14:ligatures w14:val="none"/>
        </w:rPr>
      </w:pPr>
      <w:r w:rsidRPr="00D44E2B">
        <w:rPr>
          <w:rFonts w:ascii="Calibri" w:hAnsi="Calibri" w:cs="Calibri"/>
          <w:kern w:val="0"/>
          <w:sz w:val="24"/>
          <w:szCs w:val="24"/>
          <w:lang w:val="es-ES"/>
          <w14:ligatures w14:val="none"/>
        </w:rPr>
        <w:t xml:space="preserve">Al Consejo Nacional de Humanidades, Ciencias y Tecnologías (CONAHCYT) por la beca otorgada para cursar el programa de doctorado en el Centro de Investigación en Alimentación y Desarrollo, A.C. </w:t>
      </w:r>
    </w:p>
    <w:p w14:paraId="55B8958A" w14:textId="77777777" w:rsidR="0049583F" w:rsidRPr="00D44E2B" w:rsidRDefault="0049583F" w:rsidP="003D0615">
      <w:pPr>
        <w:suppressAutoHyphens/>
        <w:spacing w:line="240" w:lineRule="auto"/>
        <w:ind w:firstLine="709"/>
        <w:jc w:val="both"/>
        <w:rPr>
          <w:rFonts w:ascii="Calibri" w:hAnsi="Calibri" w:cs="Calibri"/>
          <w:kern w:val="0"/>
          <w:sz w:val="24"/>
          <w:szCs w:val="24"/>
          <w:lang w:val="es-ES"/>
          <w14:ligatures w14:val="none"/>
        </w:rPr>
      </w:pPr>
      <w:r w:rsidRPr="00D44E2B">
        <w:rPr>
          <w:rFonts w:ascii="Calibri" w:hAnsi="Calibri" w:cs="Calibri"/>
          <w:kern w:val="0"/>
          <w:sz w:val="24"/>
          <w:szCs w:val="24"/>
          <w:lang w:val="es-ES"/>
          <w14:ligatures w14:val="none"/>
        </w:rPr>
        <w:t>A la dirección y personal de la Reserva de la Biosfera El Pinacate y Gran Desierto de Altar, por las facilidades otorgadas en la revisión y análisis de las bases de datos utilizadas en este artículo.</w:t>
      </w:r>
    </w:p>
    <w:p w14:paraId="6357612C" w14:textId="624D406A" w:rsidR="0049583F" w:rsidRPr="009522AB" w:rsidRDefault="007203E2" w:rsidP="003D0615">
      <w:pPr>
        <w:suppressAutoHyphens/>
        <w:spacing w:line="240" w:lineRule="auto"/>
        <w:rPr>
          <w:rFonts w:ascii="Calibri" w:hAnsi="Calibri" w:cs="Calibri"/>
          <w:b/>
          <w:bCs/>
          <w:kern w:val="0"/>
          <w:sz w:val="24"/>
          <w:szCs w:val="24"/>
          <w14:ligatures w14:val="none"/>
        </w:rPr>
      </w:pPr>
      <w:r w:rsidRPr="009522AB">
        <w:rPr>
          <w:rFonts w:ascii="Calibri" w:hAnsi="Calibri" w:cs="Calibri"/>
          <w:b/>
          <w:bCs/>
          <w:kern w:val="0"/>
          <w:sz w:val="24"/>
          <w:szCs w:val="24"/>
          <w14:ligatures w14:val="none"/>
        </w:rPr>
        <w:t xml:space="preserve">6. </w:t>
      </w:r>
      <w:r w:rsidR="0031490E">
        <w:rPr>
          <w:rFonts w:ascii="Calibri" w:hAnsi="Calibri" w:cs="Calibri"/>
          <w:b/>
          <w:bCs/>
          <w:kern w:val="0"/>
          <w:sz w:val="24"/>
          <w:szCs w:val="24"/>
          <w14:ligatures w14:val="none"/>
        </w:rPr>
        <w:t>R</w:t>
      </w:r>
      <w:r w:rsidR="00FA4146">
        <w:rPr>
          <w:rFonts w:ascii="Calibri" w:hAnsi="Calibri" w:cs="Calibri"/>
          <w:b/>
          <w:bCs/>
          <w:kern w:val="0"/>
          <w:sz w:val="24"/>
          <w:szCs w:val="24"/>
          <w14:ligatures w14:val="none"/>
        </w:rPr>
        <w:t>eferencias</w:t>
      </w:r>
    </w:p>
    <w:p w14:paraId="397375B3" w14:textId="56EC1CD4" w:rsidR="0049583F" w:rsidRPr="00D44E2B" w:rsidRDefault="0049583F" w:rsidP="003D0615">
      <w:pPr>
        <w:widowControl w:val="0"/>
        <w:suppressAutoHyphens/>
        <w:spacing w:line="240" w:lineRule="auto"/>
        <w:ind w:left="709" w:hanging="709"/>
        <w:jc w:val="both"/>
        <w:rPr>
          <w:rFonts w:ascii="Calibri" w:hAnsi="Calibri" w:cs="Calibri"/>
          <w:color w:val="467886" w:themeColor="hyperlink"/>
          <w:kern w:val="0"/>
          <w:sz w:val="24"/>
          <w:szCs w:val="24"/>
          <w:u w:val="single"/>
          <w:lang w:val="en-US"/>
          <w14:ligatures w14:val="none"/>
        </w:rPr>
      </w:pPr>
      <w:r w:rsidRPr="007F241B">
        <w:rPr>
          <w:rFonts w:ascii="Calibri" w:hAnsi="Calibri" w:cs="Calibri"/>
          <w:kern w:val="0"/>
          <w:sz w:val="24"/>
          <w:szCs w:val="24"/>
          <w:lang w:val="en-US"/>
          <w14:ligatures w14:val="none"/>
        </w:rPr>
        <w:t>A</w:t>
      </w:r>
      <w:r w:rsidR="00C9018F" w:rsidRPr="007F241B">
        <w:rPr>
          <w:rFonts w:ascii="Calibri" w:hAnsi="Calibri" w:cs="Calibri"/>
          <w:kern w:val="0"/>
          <w:sz w:val="24"/>
          <w:szCs w:val="24"/>
          <w:lang w:val="en-US"/>
          <w14:ligatures w14:val="none"/>
        </w:rPr>
        <w:t>die</w:t>
      </w:r>
      <w:r w:rsidRPr="007F241B">
        <w:rPr>
          <w:rFonts w:ascii="Calibri" w:hAnsi="Calibri" w:cs="Calibri"/>
          <w:kern w:val="0"/>
          <w:sz w:val="24"/>
          <w:szCs w:val="24"/>
          <w:lang w:val="en-US"/>
          <w14:ligatures w14:val="none"/>
        </w:rPr>
        <w:t xml:space="preserve">, B., </w:t>
      </w:r>
      <w:r w:rsidR="009804DF">
        <w:rPr>
          <w:rFonts w:ascii="Calibri" w:hAnsi="Calibri" w:cs="Calibri"/>
          <w:kern w:val="0"/>
          <w:sz w:val="24"/>
          <w:szCs w:val="24"/>
          <w:lang w:val="en-US"/>
          <w14:ligatures w14:val="none"/>
        </w:rPr>
        <w:t>&amp;</w:t>
      </w:r>
      <w:r w:rsidRPr="007F241B">
        <w:rPr>
          <w:rFonts w:ascii="Calibri" w:hAnsi="Calibri" w:cs="Calibri"/>
          <w:kern w:val="0"/>
          <w:sz w:val="24"/>
          <w:szCs w:val="24"/>
          <w:lang w:val="en-US"/>
          <w14:ligatures w14:val="none"/>
        </w:rPr>
        <w:t xml:space="preserve"> H</w:t>
      </w:r>
      <w:r w:rsidR="00C9018F" w:rsidRPr="007F241B">
        <w:rPr>
          <w:rFonts w:ascii="Calibri" w:hAnsi="Calibri" w:cs="Calibri"/>
          <w:kern w:val="0"/>
          <w:sz w:val="24"/>
          <w:szCs w:val="24"/>
          <w:lang w:val="en-US"/>
          <w14:ligatures w14:val="none"/>
        </w:rPr>
        <w:t>all</w:t>
      </w:r>
      <w:r w:rsidRPr="007F241B">
        <w:rPr>
          <w:rFonts w:ascii="Calibri" w:hAnsi="Calibri" w:cs="Calibri"/>
          <w:kern w:val="0"/>
          <w:sz w:val="24"/>
          <w:szCs w:val="24"/>
          <w:lang w:val="en-US"/>
          <w14:ligatures w14:val="none"/>
        </w:rPr>
        <w:t>, C. (2017)</w:t>
      </w:r>
      <w:r w:rsidR="009522AB" w:rsidRPr="007F241B">
        <w:rPr>
          <w:rFonts w:ascii="Calibri" w:hAnsi="Calibri" w:cs="Calibri"/>
          <w:kern w:val="0"/>
          <w:sz w:val="24"/>
          <w:szCs w:val="24"/>
          <w:lang w:val="en-US"/>
          <w14:ligatures w14:val="none"/>
        </w:rPr>
        <w:t xml:space="preserve">. </w:t>
      </w:r>
      <w:r w:rsidRPr="00D44E2B">
        <w:rPr>
          <w:rFonts w:ascii="Calibri" w:hAnsi="Calibri" w:cs="Calibri"/>
          <w:kern w:val="0"/>
          <w:sz w:val="24"/>
          <w:szCs w:val="24"/>
          <w:lang w:val="en-US"/>
          <w14:ligatures w14:val="none"/>
        </w:rPr>
        <w:t>Who visits World Heritage? A comparative analysis of three cultural sites</w:t>
      </w:r>
      <w:r w:rsidR="00C9018F">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r w:rsidRPr="00D44E2B">
        <w:rPr>
          <w:rFonts w:ascii="Calibri" w:hAnsi="Calibri" w:cs="Calibri"/>
          <w:i/>
          <w:iCs/>
          <w:kern w:val="0"/>
          <w:sz w:val="24"/>
          <w:szCs w:val="24"/>
          <w:lang w:val="en-US"/>
          <w14:ligatures w14:val="none"/>
        </w:rPr>
        <w:t>Journal of Heritage Tourism</w:t>
      </w:r>
      <w:r w:rsidRPr="00D44E2B">
        <w:rPr>
          <w:rFonts w:ascii="Calibri" w:hAnsi="Calibri" w:cs="Calibri"/>
          <w:kern w:val="0"/>
          <w:sz w:val="24"/>
          <w:szCs w:val="24"/>
          <w:lang w:val="en-US"/>
          <w14:ligatures w14:val="none"/>
        </w:rPr>
        <w:t>, 12(1), 67-80.</w:t>
      </w:r>
      <w:r w:rsidR="00EE3327">
        <w:rPr>
          <w:rFonts w:ascii="Calibri" w:hAnsi="Calibri" w:cs="Calibri"/>
          <w:kern w:val="0"/>
          <w:sz w:val="24"/>
          <w:szCs w:val="24"/>
          <w:lang w:val="en-US"/>
          <w14:ligatures w14:val="none"/>
        </w:rPr>
        <w:t xml:space="preserve"> </w:t>
      </w:r>
      <w:hyperlink r:id="rId12">
        <w:r w:rsidRPr="00D44E2B">
          <w:rPr>
            <w:rFonts w:ascii="Calibri" w:hAnsi="Calibri" w:cs="Calibri"/>
            <w:color w:val="467886" w:themeColor="hyperlink"/>
            <w:kern w:val="0"/>
            <w:sz w:val="24"/>
            <w:szCs w:val="24"/>
            <w:u w:val="single"/>
            <w:lang w:val="en-US"/>
            <w14:ligatures w14:val="none"/>
          </w:rPr>
          <w:t>https://doi.org/10.1080/1743873X.2016.1151429</w:t>
        </w:r>
      </w:hyperlink>
    </w:p>
    <w:p w14:paraId="1D771E6F" w14:textId="6B3AD4BB" w:rsidR="0049583F" w:rsidRPr="009A06B8" w:rsidRDefault="0049583F" w:rsidP="003D0615">
      <w:pPr>
        <w:widowControl w:val="0"/>
        <w:suppressAutoHyphens/>
        <w:spacing w:line="240" w:lineRule="auto"/>
        <w:ind w:left="709" w:hanging="709"/>
        <w:jc w:val="both"/>
        <w:rPr>
          <w:rFonts w:ascii="Calibri" w:hAnsi="Calibri" w:cs="Calibri"/>
          <w:kern w:val="0"/>
          <w:sz w:val="24"/>
          <w:szCs w:val="24"/>
          <w14:ligatures w14:val="none"/>
        </w:rPr>
      </w:pPr>
      <w:r w:rsidRPr="00D44E2B">
        <w:rPr>
          <w:rFonts w:ascii="Calibri" w:hAnsi="Calibri" w:cs="Calibri"/>
          <w:kern w:val="0"/>
          <w:sz w:val="24"/>
          <w:szCs w:val="24"/>
          <w:lang w:val="en-US"/>
          <w14:ligatures w14:val="none"/>
        </w:rPr>
        <w:t>A</w:t>
      </w:r>
      <w:r w:rsidR="00C9018F" w:rsidRPr="00D44E2B">
        <w:rPr>
          <w:rFonts w:ascii="Calibri" w:hAnsi="Calibri" w:cs="Calibri"/>
          <w:kern w:val="0"/>
          <w:sz w:val="24"/>
          <w:szCs w:val="24"/>
          <w:lang w:val="en-US"/>
          <w14:ligatures w14:val="none"/>
        </w:rPr>
        <w:t>llcock</w:t>
      </w:r>
      <w:r w:rsidRPr="00D44E2B">
        <w:rPr>
          <w:rFonts w:ascii="Calibri" w:hAnsi="Calibri" w:cs="Calibri"/>
          <w:kern w:val="0"/>
          <w:sz w:val="24"/>
          <w:szCs w:val="24"/>
          <w:lang w:val="en-US"/>
          <w14:ligatures w14:val="none"/>
        </w:rPr>
        <w:t>, J. (1994)</w:t>
      </w:r>
      <w:r w:rsidR="00C9018F">
        <w:rPr>
          <w:rFonts w:ascii="Calibri" w:hAnsi="Calibri" w:cs="Calibri"/>
          <w:kern w:val="0"/>
          <w:sz w:val="24"/>
          <w:szCs w:val="24"/>
          <w:lang w:val="en-US"/>
          <w14:ligatures w14:val="none"/>
        </w:rPr>
        <w:t xml:space="preserve">. </w:t>
      </w:r>
      <w:r w:rsidRPr="00D44E2B">
        <w:rPr>
          <w:rFonts w:ascii="Calibri" w:hAnsi="Calibri" w:cs="Calibri"/>
          <w:kern w:val="0"/>
          <w:sz w:val="24"/>
          <w:szCs w:val="24"/>
          <w:lang w:val="en-US"/>
          <w14:ligatures w14:val="none"/>
        </w:rPr>
        <w:t xml:space="preserve">Seasonality. En: </w:t>
      </w:r>
      <w:r w:rsidRPr="00D44E2B">
        <w:rPr>
          <w:rFonts w:ascii="Calibri" w:hAnsi="Calibri" w:cs="Calibri"/>
          <w:i/>
          <w:iCs/>
          <w:kern w:val="0"/>
          <w:sz w:val="24"/>
          <w:szCs w:val="24"/>
          <w:lang w:val="en-US"/>
          <w14:ligatures w14:val="none"/>
        </w:rPr>
        <w:t>Tourism Marketing and Management Handbook</w:t>
      </w:r>
      <w:r w:rsidR="00C9018F">
        <w:rPr>
          <w:rFonts w:ascii="Calibri" w:hAnsi="Calibri" w:cs="Calibri"/>
          <w:kern w:val="0"/>
          <w:sz w:val="24"/>
          <w:szCs w:val="24"/>
          <w:lang w:val="en-US"/>
          <w14:ligatures w14:val="none"/>
        </w:rPr>
        <w:t xml:space="preserve">. </w:t>
      </w:r>
      <w:r w:rsidRPr="00D44E2B">
        <w:rPr>
          <w:rFonts w:ascii="Calibri" w:hAnsi="Calibri" w:cs="Calibri"/>
          <w:kern w:val="0"/>
          <w:sz w:val="24"/>
          <w:szCs w:val="24"/>
          <w:lang w:val="en-US"/>
          <w14:ligatures w14:val="none"/>
        </w:rPr>
        <w:t>S. WITT Y L. MOUTINHO (</w:t>
      </w:r>
      <w:proofErr w:type="spellStart"/>
      <w:r w:rsidRPr="00D44E2B">
        <w:rPr>
          <w:rFonts w:ascii="Calibri" w:hAnsi="Calibri" w:cs="Calibri"/>
          <w:kern w:val="0"/>
          <w:sz w:val="24"/>
          <w:szCs w:val="24"/>
          <w:lang w:val="en-US"/>
          <w14:ligatures w14:val="none"/>
        </w:rPr>
        <w:t>edt</w:t>
      </w:r>
      <w:proofErr w:type="spellEnd"/>
      <w:r w:rsidRPr="00D44E2B">
        <w:rPr>
          <w:rFonts w:ascii="Calibri" w:hAnsi="Calibri" w:cs="Calibri"/>
          <w:kern w:val="0"/>
          <w:sz w:val="24"/>
          <w:szCs w:val="24"/>
          <w:lang w:val="en-US"/>
          <w14:ligatures w14:val="none"/>
        </w:rPr>
        <w:t xml:space="preserve">), Prentice Hall, New York, p. 191-208. </w:t>
      </w:r>
      <w:r w:rsidRPr="009A06B8">
        <w:rPr>
          <w:rFonts w:ascii="Calibri" w:hAnsi="Calibri" w:cs="Calibri"/>
          <w:kern w:val="0"/>
          <w:sz w:val="24"/>
          <w:szCs w:val="24"/>
          <w14:ligatures w14:val="none"/>
        </w:rPr>
        <w:t xml:space="preserve">ISBN: 9780139258855. </w:t>
      </w:r>
      <w:hyperlink r:id="rId13">
        <w:r w:rsidRPr="009A06B8">
          <w:rPr>
            <w:rFonts w:ascii="Calibri" w:hAnsi="Calibri" w:cs="Calibri"/>
            <w:color w:val="467886" w:themeColor="hyperlink"/>
            <w:kern w:val="0"/>
            <w:sz w:val="24"/>
            <w:szCs w:val="24"/>
            <w:u w:val="single"/>
            <w14:ligatures w14:val="none"/>
          </w:rPr>
          <w:t>https://www.cabdirect.org/cabdirect/abstract/19891869761</w:t>
        </w:r>
      </w:hyperlink>
    </w:p>
    <w:p w14:paraId="7DD749F5" w14:textId="5C0918A7" w:rsidR="0049583F" w:rsidRPr="009A06B8" w:rsidRDefault="0049583F" w:rsidP="003D0615">
      <w:pPr>
        <w:suppressAutoHyphens/>
        <w:spacing w:line="240" w:lineRule="auto"/>
        <w:ind w:left="709" w:hanging="709"/>
        <w:jc w:val="both"/>
        <w:rPr>
          <w:rFonts w:ascii="Calibri" w:hAnsi="Calibri" w:cs="Calibri"/>
          <w:kern w:val="0"/>
          <w:sz w:val="24"/>
          <w:szCs w:val="24"/>
          <w14:ligatures w14:val="none"/>
        </w:rPr>
      </w:pPr>
      <w:r w:rsidRPr="00C9018F">
        <w:rPr>
          <w:rFonts w:ascii="Calibri" w:hAnsi="Calibri" w:cs="Calibri"/>
          <w:kern w:val="0"/>
          <w:sz w:val="24"/>
          <w:szCs w:val="24"/>
          <w14:ligatures w14:val="none"/>
        </w:rPr>
        <w:t>Á</w:t>
      </w:r>
      <w:r w:rsidR="00C9018F" w:rsidRPr="00C9018F">
        <w:rPr>
          <w:rFonts w:ascii="Calibri" w:hAnsi="Calibri" w:cs="Calibri"/>
          <w:kern w:val="0"/>
          <w:sz w:val="24"/>
          <w:szCs w:val="24"/>
          <w14:ligatures w14:val="none"/>
        </w:rPr>
        <w:t>lvarez</w:t>
      </w:r>
      <w:r w:rsidRPr="00C9018F">
        <w:rPr>
          <w:rFonts w:ascii="Calibri" w:hAnsi="Calibri" w:cs="Calibri"/>
          <w:kern w:val="0"/>
          <w:sz w:val="24"/>
          <w:szCs w:val="24"/>
          <w14:ligatures w14:val="none"/>
        </w:rPr>
        <w:t>-D</w:t>
      </w:r>
      <w:r w:rsidR="00C9018F" w:rsidRPr="00C9018F">
        <w:rPr>
          <w:rFonts w:ascii="Calibri" w:hAnsi="Calibri" w:cs="Calibri"/>
          <w:kern w:val="0"/>
          <w:sz w:val="24"/>
          <w:szCs w:val="24"/>
          <w14:ligatures w14:val="none"/>
        </w:rPr>
        <w:t>íaz</w:t>
      </w:r>
      <w:r w:rsidRPr="00C9018F">
        <w:rPr>
          <w:rFonts w:ascii="Calibri" w:hAnsi="Calibri" w:cs="Calibri"/>
          <w:kern w:val="0"/>
          <w:sz w:val="24"/>
          <w:szCs w:val="24"/>
          <w14:ligatures w14:val="none"/>
        </w:rPr>
        <w:t>, M., G</w:t>
      </w:r>
      <w:r w:rsidR="00C9018F" w:rsidRPr="00C9018F">
        <w:rPr>
          <w:rFonts w:ascii="Calibri" w:hAnsi="Calibri" w:cs="Calibri"/>
          <w:kern w:val="0"/>
          <w:sz w:val="24"/>
          <w:szCs w:val="24"/>
          <w14:ligatures w14:val="none"/>
        </w:rPr>
        <w:t>onzález</w:t>
      </w:r>
      <w:r w:rsidRPr="00C9018F">
        <w:rPr>
          <w:rFonts w:ascii="Calibri" w:hAnsi="Calibri" w:cs="Calibri"/>
          <w:kern w:val="0"/>
          <w:sz w:val="24"/>
          <w:szCs w:val="24"/>
          <w14:ligatures w14:val="none"/>
        </w:rPr>
        <w:t>-G</w:t>
      </w:r>
      <w:r w:rsidR="00C9018F" w:rsidRPr="00C9018F">
        <w:rPr>
          <w:rFonts w:ascii="Calibri" w:hAnsi="Calibri" w:cs="Calibri"/>
          <w:kern w:val="0"/>
          <w:sz w:val="24"/>
          <w:szCs w:val="24"/>
          <w14:ligatures w14:val="none"/>
        </w:rPr>
        <w:t>ómez</w:t>
      </w:r>
      <w:r w:rsidRPr="00C9018F">
        <w:rPr>
          <w:rFonts w:ascii="Calibri" w:hAnsi="Calibri" w:cs="Calibri"/>
          <w:kern w:val="0"/>
          <w:sz w:val="24"/>
          <w:szCs w:val="24"/>
          <w14:ligatures w14:val="none"/>
        </w:rPr>
        <w:t xml:space="preserve">, M., </w:t>
      </w:r>
      <w:r w:rsidR="009804DF">
        <w:rPr>
          <w:rFonts w:ascii="Calibri" w:hAnsi="Calibri" w:cs="Calibri"/>
          <w:kern w:val="0"/>
          <w:sz w:val="24"/>
          <w:szCs w:val="24"/>
          <w14:ligatures w14:val="none"/>
        </w:rPr>
        <w:t>&amp;</w:t>
      </w:r>
      <w:r w:rsidRPr="00C9018F">
        <w:rPr>
          <w:rFonts w:ascii="Calibri" w:hAnsi="Calibri" w:cs="Calibri"/>
          <w:kern w:val="0"/>
          <w:sz w:val="24"/>
          <w:szCs w:val="24"/>
          <w14:ligatures w14:val="none"/>
        </w:rPr>
        <w:t xml:space="preserve"> O</w:t>
      </w:r>
      <w:r w:rsidR="00C9018F" w:rsidRPr="00C9018F">
        <w:rPr>
          <w:rFonts w:ascii="Calibri" w:hAnsi="Calibri" w:cs="Calibri"/>
          <w:kern w:val="0"/>
          <w:sz w:val="24"/>
          <w:szCs w:val="24"/>
          <w14:ligatures w14:val="none"/>
        </w:rPr>
        <w:t>tero</w:t>
      </w:r>
      <w:r w:rsidRPr="00C9018F">
        <w:rPr>
          <w:rFonts w:ascii="Calibri" w:hAnsi="Calibri" w:cs="Calibri"/>
          <w:kern w:val="0"/>
          <w:sz w:val="24"/>
          <w:szCs w:val="24"/>
          <w14:ligatures w14:val="none"/>
        </w:rPr>
        <w:t>-G</w:t>
      </w:r>
      <w:r w:rsidR="00C9018F" w:rsidRPr="00C9018F">
        <w:rPr>
          <w:rFonts w:ascii="Calibri" w:hAnsi="Calibri" w:cs="Calibri"/>
          <w:kern w:val="0"/>
          <w:sz w:val="24"/>
          <w:szCs w:val="24"/>
          <w14:ligatures w14:val="none"/>
        </w:rPr>
        <w:t>iráldez</w:t>
      </w:r>
      <w:r w:rsidRPr="00C9018F">
        <w:rPr>
          <w:rFonts w:ascii="Calibri" w:hAnsi="Calibri" w:cs="Calibri"/>
          <w:kern w:val="0"/>
          <w:sz w:val="24"/>
          <w:szCs w:val="24"/>
          <w14:ligatures w14:val="none"/>
        </w:rPr>
        <w:t>, M. S. (2016)</w:t>
      </w:r>
      <w:r w:rsidR="00C9018F" w:rsidRPr="00C9018F">
        <w:rPr>
          <w:rFonts w:ascii="Calibri" w:hAnsi="Calibri" w:cs="Calibri"/>
          <w:kern w:val="0"/>
          <w:sz w:val="24"/>
          <w:szCs w:val="24"/>
          <w14:ligatures w14:val="none"/>
        </w:rPr>
        <w:t xml:space="preserve">. </w:t>
      </w:r>
      <w:r w:rsidRPr="00D44E2B">
        <w:rPr>
          <w:rFonts w:ascii="Calibri" w:hAnsi="Calibri" w:cs="Calibri"/>
          <w:kern w:val="0"/>
          <w:sz w:val="24"/>
          <w:szCs w:val="24"/>
          <w:lang w:val="en-US"/>
          <w14:ligatures w14:val="none"/>
        </w:rPr>
        <w:t>Modeling the tourism demand of emerging economies: The case of Russian tourist arrivals to Spain</w:t>
      </w:r>
      <w:r w:rsidR="00C9018F">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r w:rsidRPr="009A06B8">
        <w:rPr>
          <w:rFonts w:ascii="Calibri" w:hAnsi="Calibri" w:cs="Calibri"/>
          <w:i/>
          <w:iCs/>
          <w:kern w:val="0"/>
          <w:sz w:val="24"/>
          <w:szCs w:val="24"/>
          <w14:ligatures w14:val="none"/>
        </w:rPr>
        <w:t>Cuadernos de Economía</w:t>
      </w:r>
      <w:r w:rsidRPr="009A06B8">
        <w:rPr>
          <w:rFonts w:ascii="Calibri" w:hAnsi="Calibri" w:cs="Calibri"/>
          <w:kern w:val="0"/>
          <w:sz w:val="24"/>
          <w:szCs w:val="24"/>
          <w14:ligatures w14:val="none"/>
        </w:rPr>
        <w:t xml:space="preserve">, 39(110), 112-125. </w:t>
      </w:r>
      <w:hyperlink r:id="rId14">
        <w:r w:rsidRPr="009A06B8">
          <w:rPr>
            <w:rFonts w:ascii="Calibri" w:hAnsi="Calibri" w:cs="Calibri"/>
            <w:color w:val="467886" w:themeColor="hyperlink"/>
            <w:kern w:val="0"/>
            <w:sz w:val="24"/>
            <w:szCs w:val="24"/>
            <w:u w:val="single"/>
            <w14:ligatures w14:val="none"/>
          </w:rPr>
          <w:t>https://doi.org/10.1016/j.cesjef.2015.10.001</w:t>
        </w:r>
      </w:hyperlink>
    </w:p>
    <w:p w14:paraId="473D40B4" w14:textId="76BCC018" w:rsidR="0049583F" w:rsidRPr="007F241B" w:rsidRDefault="0049583F" w:rsidP="003D0615">
      <w:pPr>
        <w:widowControl w:val="0"/>
        <w:suppressAutoHyphens/>
        <w:spacing w:line="240" w:lineRule="auto"/>
        <w:ind w:left="709" w:hanging="709"/>
        <w:jc w:val="both"/>
        <w:rPr>
          <w:rFonts w:ascii="Calibri" w:hAnsi="Calibri" w:cs="Calibri"/>
          <w:color w:val="333333"/>
          <w:kern w:val="0"/>
          <w:sz w:val="24"/>
          <w:szCs w:val="24"/>
          <w:shd w:val="clear" w:color="auto" w:fill="FCFCFC"/>
          <w:lang w:val="es-CR"/>
          <w14:ligatures w14:val="none"/>
        </w:rPr>
      </w:pPr>
      <w:proofErr w:type="spellStart"/>
      <w:r w:rsidRPr="00606B29">
        <w:rPr>
          <w:rFonts w:ascii="Calibri" w:hAnsi="Calibri" w:cs="Calibri"/>
          <w:kern w:val="0"/>
          <w:sz w:val="24"/>
          <w:szCs w:val="24"/>
          <w14:ligatures w14:val="none"/>
        </w:rPr>
        <w:t>A</w:t>
      </w:r>
      <w:r w:rsidR="00DC206C" w:rsidRPr="00606B29">
        <w:rPr>
          <w:rFonts w:ascii="Calibri" w:hAnsi="Calibri" w:cs="Calibri"/>
          <w:kern w:val="0"/>
          <w:sz w:val="24"/>
          <w:szCs w:val="24"/>
          <w14:ligatures w14:val="none"/>
        </w:rPr>
        <w:t>nholt</w:t>
      </w:r>
      <w:proofErr w:type="spellEnd"/>
      <w:r w:rsidRPr="00606B29">
        <w:rPr>
          <w:rFonts w:ascii="Calibri" w:hAnsi="Calibri" w:cs="Calibri"/>
          <w:kern w:val="0"/>
          <w:sz w:val="24"/>
          <w:szCs w:val="24"/>
          <w14:ligatures w14:val="none"/>
        </w:rPr>
        <w:t>, S. (1998)</w:t>
      </w:r>
      <w:r w:rsidR="00DC206C" w:rsidRPr="00606B29">
        <w:rPr>
          <w:rFonts w:ascii="Calibri" w:hAnsi="Calibri" w:cs="Calibri"/>
          <w:kern w:val="0"/>
          <w:sz w:val="24"/>
          <w:szCs w:val="24"/>
          <w14:ligatures w14:val="none"/>
        </w:rPr>
        <w:t xml:space="preserve">. </w:t>
      </w:r>
      <w:r w:rsidRPr="00D44E2B">
        <w:rPr>
          <w:rFonts w:ascii="Calibri" w:hAnsi="Calibri" w:cs="Calibri"/>
          <w:kern w:val="0"/>
          <w:sz w:val="24"/>
          <w:szCs w:val="24"/>
          <w:lang w:val="en-US"/>
          <w14:ligatures w14:val="none"/>
        </w:rPr>
        <w:t>Nation-brands of the twenty-first century</w:t>
      </w:r>
      <w:r w:rsidR="00DC206C">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r w:rsidRPr="00D44E2B">
        <w:rPr>
          <w:rFonts w:ascii="Calibri" w:hAnsi="Calibri" w:cs="Calibri"/>
          <w:i/>
          <w:iCs/>
          <w:kern w:val="0"/>
          <w:sz w:val="24"/>
          <w:szCs w:val="24"/>
          <w:lang w:val="en-US"/>
          <w14:ligatures w14:val="none"/>
        </w:rPr>
        <w:t xml:space="preserve">Journal of Brand Management </w:t>
      </w:r>
      <w:r w:rsidRPr="00D44E2B">
        <w:rPr>
          <w:rFonts w:ascii="Calibri" w:hAnsi="Calibri" w:cs="Calibri"/>
          <w:kern w:val="0"/>
          <w:sz w:val="24"/>
          <w:szCs w:val="24"/>
          <w:lang w:val="en-US"/>
          <w14:ligatures w14:val="none"/>
        </w:rPr>
        <w:t xml:space="preserve">5(6), 395–406. </w:t>
      </w:r>
      <w:hyperlink r:id="rId15">
        <w:r w:rsidRPr="007F241B">
          <w:rPr>
            <w:rFonts w:ascii="Calibri" w:hAnsi="Calibri" w:cs="Calibri"/>
            <w:color w:val="467886" w:themeColor="hyperlink"/>
            <w:kern w:val="0"/>
            <w:sz w:val="24"/>
            <w:szCs w:val="24"/>
            <w:u w:val="single"/>
            <w:shd w:val="clear" w:color="auto" w:fill="FCFCFC"/>
            <w:lang w:val="es-CR"/>
            <w14:ligatures w14:val="none"/>
          </w:rPr>
          <w:t>https://doi.org/10.1057/bm.1998.30</w:t>
        </w:r>
      </w:hyperlink>
    </w:p>
    <w:p w14:paraId="36E75FFB" w14:textId="4AE9CA5D" w:rsidR="007F241B" w:rsidRPr="009A06B8" w:rsidRDefault="007F241B" w:rsidP="003D0615">
      <w:pPr>
        <w:suppressAutoHyphens/>
        <w:spacing w:line="240" w:lineRule="auto"/>
        <w:ind w:left="709" w:hanging="709"/>
        <w:jc w:val="both"/>
        <w:rPr>
          <w:rFonts w:ascii="Calibri" w:hAnsi="Calibri" w:cs="Calibri"/>
          <w:kern w:val="0"/>
          <w:sz w:val="24"/>
          <w:szCs w:val="24"/>
          <w14:ligatures w14:val="none"/>
        </w:rPr>
      </w:pPr>
      <w:r w:rsidRPr="00D44E2B">
        <w:rPr>
          <w:rFonts w:ascii="Calibri" w:hAnsi="Calibri" w:cs="Calibri"/>
          <w:kern w:val="0"/>
          <w:sz w:val="24"/>
          <w:szCs w:val="24"/>
          <w14:ligatures w14:val="none"/>
        </w:rPr>
        <w:t xml:space="preserve">Brida, J., Pereyra, J., </w:t>
      </w:r>
      <w:proofErr w:type="spellStart"/>
      <w:r w:rsidRPr="00D44E2B">
        <w:rPr>
          <w:rFonts w:ascii="Calibri" w:hAnsi="Calibri" w:cs="Calibri"/>
          <w:kern w:val="0"/>
          <w:sz w:val="24"/>
          <w:szCs w:val="24"/>
          <w14:ligatures w14:val="none"/>
        </w:rPr>
        <w:t>Such</w:t>
      </w:r>
      <w:proofErr w:type="spellEnd"/>
      <w:r w:rsidRPr="00D44E2B">
        <w:rPr>
          <w:rFonts w:ascii="Calibri" w:hAnsi="Calibri" w:cs="Calibri"/>
          <w:kern w:val="0"/>
          <w:sz w:val="24"/>
          <w:szCs w:val="24"/>
          <w14:ligatures w14:val="none"/>
        </w:rPr>
        <w:t xml:space="preserve"> Devesa, M. J., y Zapata-Aguirre, S. (2008)</w:t>
      </w:r>
      <w:r>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La contribución del turismo al crecimiento económico</w:t>
      </w:r>
      <w:r>
        <w:rPr>
          <w:rFonts w:ascii="Calibri" w:hAnsi="Calibri" w:cs="Calibri"/>
          <w:kern w:val="0"/>
          <w:sz w:val="24"/>
          <w:szCs w:val="24"/>
          <w14:ligatures w14:val="none"/>
        </w:rPr>
        <w:t>.</w:t>
      </w:r>
      <w:r w:rsidRPr="00D44E2B">
        <w:rPr>
          <w:rFonts w:ascii="Calibri" w:hAnsi="Calibri" w:cs="Calibri"/>
          <w:kern w:val="0"/>
          <w:sz w:val="24"/>
          <w:szCs w:val="24"/>
          <w14:ligatures w14:val="none"/>
        </w:rPr>
        <w:t xml:space="preserve"> </w:t>
      </w:r>
      <w:r w:rsidRPr="00D44E2B">
        <w:rPr>
          <w:rFonts w:ascii="Calibri" w:hAnsi="Calibri" w:cs="Calibri"/>
          <w:i/>
          <w:iCs/>
          <w:kern w:val="0"/>
          <w:sz w:val="24"/>
          <w:szCs w:val="24"/>
          <w14:ligatures w14:val="none"/>
        </w:rPr>
        <w:t>Cuadernos de Turismo</w:t>
      </w:r>
      <w:r w:rsidRPr="00D44E2B">
        <w:rPr>
          <w:rFonts w:ascii="Calibri" w:hAnsi="Calibri" w:cs="Calibri"/>
          <w:kern w:val="0"/>
          <w:sz w:val="24"/>
          <w:szCs w:val="24"/>
          <w14:ligatures w14:val="none"/>
        </w:rPr>
        <w:t xml:space="preserve">, (22), 35-46. </w:t>
      </w:r>
      <w:hyperlink r:id="rId16">
        <w:r w:rsidRPr="009A06B8">
          <w:rPr>
            <w:rFonts w:ascii="Calibri" w:hAnsi="Calibri" w:cs="Calibri"/>
            <w:color w:val="467886" w:themeColor="hyperlink"/>
            <w:kern w:val="0"/>
            <w:sz w:val="24"/>
            <w:szCs w:val="24"/>
            <w:u w:val="single"/>
            <w14:ligatures w14:val="none"/>
          </w:rPr>
          <w:t>https://revistas.um.es/turismo/article/view/47931</w:t>
        </w:r>
      </w:hyperlink>
    </w:p>
    <w:p w14:paraId="13E8073E" w14:textId="5FDBB566" w:rsidR="0049583F" w:rsidRPr="00D44E2B" w:rsidRDefault="0049583F" w:rsidP="003D0615">
      <w:pPr>
        <w:suppressAutoHyphens/>
        <w:spacing w:line="240" w:lineRule="auto"/>
        <w:ind w:left="709" w:hanging="709"/>
        <w:jc w:val="both"/>
        <w:rPr>
          <w:rFonts w:ascii="Calibri" w:hAnsi="Calibri" w:cs="Calibri"/>
          <w:kern w:val="0"/>
          <w:sz w:val="24"/>
          <w:szCs w:val="24"/>
          <w14:ligatures w14:val="none"/>
        </w:rPr>
      </w:pPr>
      <w:r w:rsidRPr="00D44E2B">
        <w:rPr>
          <w:rFonts w:ascii="Calibri" w:hAnsi="Calibri" w:cs="Calibri"/>
          <w:kern w:val="0"/>
          <w:sz w:val="24"/>
          <w:szCs w:val="24"/>
          <w14:ligatures w14:val="none"/>
        </w:rPr>
        <w:t>B</w:t>
      </w:r>
      <w:r w:rsidR="007A2A20" w:rsidRPr="00D44E2B">
        <w:rPr>
          <w:rFonts w:ascii="Calibri" w:hAnsi="Calibri" w:cs="Calibri"/>
          <w:kern w:val="0"/>
          <w:sz w:val="24"/>
          <w:szCs w:val="24"/>
          <w14:ligatures w14:val="none"/>
        </w:rPr>
        <w:t>rida</w:t>
      </w:r>
      <w:r w:rsidRPr="00D44E2B">
        <w:rPr>
          <w:rFonts w:ascii="Calibri" w:hAnsi="Calibri" w:cs="Calibri"/>
          <w:kern w:val="0"/>
          <w:sz w:val="24"/>
          <w:szCs w:val="24"/>
          <w14:ligatures w14:val="none"/>
        </w:rPr>
        <w:t xml:space="preserve">, J., </w:t>
      </w:r>
      <w:proofErr w:type="spellStart"/>
      <w:r w:rsidRPr="00D44E2B">
        <w:rPr>
          <w:rFonts w:ascii="Calibri" w:hAnsi="Calibri" w:cs="Calibri"/>
          <w:kern w:val="0"/>
          <w:sz w:val="24"/>
          <w:szCs w:val="24"/>
          <w14:ligatures w14:val="none"/>
        </w:rPr>
        <w:t>M</w:t>
      </w:r>
      <w:r w:rsidR="007A2A20" w:rsidRPr="00D44E2B">
        <w:rPr>
          <w:rFonts w:ascii="Calibri" w:hAnsi="Calibri" w:cs="Calibri"/>
          <w:kern w:val="0"/>
          <w:sz w:val="24"/>
          <w:szCs w:val="24"/>
          <w14:ligatures w14:val="none"/>
        </w:rPr>
        <w:t>onterubbianesi</w:t>
      </w:r>
      <w:proofErr w:type="spellEnd"/>
      <w:r w:rsidRPr="00D44E2B">
        <w:rPr>
          <w:rFonts w:ascii="Calibri" w:hAnsi="Calibri" w:cs="Calibri"/>
          <w:kern w:val="0"/>
          <w:sz w:val="24"/>
          <w:szCs w:val="24"/>
          <w14:ligatures w14:val="none"/>
        </w:rPr>
        <w:t>, P., y Z</w:t>
      </w:r>
      <w:r w:rsidR="007A2A20" w:rsidRPr="00D44E2B">
        <w:rPr>
          <w:rFonts w:ascii="Calibri" w:hAnsi="Calibri" w:cs="Calibri"/>
          <w:kern w:val="0"/>
          <w:sz w:val="24"/>
          <w:szCs w:val="24"/>
          <w14:ligatures w14:val="none"/>
        </w:rPr>
        <w:t>apata</w:t>
      </w:r>
      <w:r w:rsidRPr="00D44E2B">
        <w:rPr>
          <w:rFonts w:ascii="Calibri" w:hAnsi="Calibri" w:cs="Calibri"/>
          <w:kern w:val="0"/>
          <w:sz w:val="24"/>
          <w:szCs w:val="24"/>
          <w14:ligatures w14:val="none"/>
        </w:rPr>
        <w:t>-A</w:t>
      </w:r>
      <w:r w:rsidR="007A2A20" w:rsidRPr="00D44E2B">
        <w:rPr>
          <w:rFonts w:ascii="Calibri" w:hAnsi="Calibri" w:cs="Calibri"/>
          <w:kern w:val="0"/>
          <w:sz w:val="24"/>
          <w:szCs w:val="24"/>
          <w14:ligatures w14:val="none"/>
        </w:rPr>
        <w:t>guirre</w:t>
      </w:r>
      <w:r w:rsidRPr="00D44E2B">
        <w:rPr>
          <w:rFonts w:ascii="Calibri" w:hAnsi="Calibri" w:cs="Calibri"/>
          <w:kern w:val="0"/>
          <w:sz w:val="24"/>
          <w:szCs w:val="24"/>
          <w14:ligatures w14:val="none"/>
        </w:rPr>
        <w:t>, S. (2011</w:t>
      </w:r>
      <w:r w:rsidR="007A2A20">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Impactos del turismo sobre el crecimiento económico y el desarrollo. El caso de los principales destinos turísticos de Colombia</w:t>
      </w:r>
      <w:r w:rsidR="007A2A20">
        <w:rPr>
          <w:rFonts w:ascii="Calibri" w:hAnsi="Calibri" w:cs="Calibri"/>
          <w:kern w:val="0"/>
          <w:sz w:val="24"/>
          <w:szCs w:val="24"/>
          <w14:ligatures w14:val="none"/>
        </w:rPr>
        <w:t>.</w:t>
      </w:r>
      <w:r w:rsidRPr="00D44E2B">
        <w:rPr>
          <w:rFonts w:ascii="Calibri" w:hAnsi="Calibri" w:cs="Calibri"/>
          <w:kern w:val="0"/>
          <w:sz w:val="24"/>
          <w:szCs w:val="24"/>
          <w14:ligatures w14:val="none"/>
        </w:rPr>
        <w:t xml:space="preserve"> </w:t>
      </w:r>
      <w:r w:rsidRPr="00D44E2B">
        <w:rPr>
          <w:rFonts w:ascii="Calibri" w:hAnsi="Calibri" w:cs="Calibri"/>
          <w:i/>
          <w:iCs/>
          <w:kern w:val="0"/>
          <w:sz w:val="24"/>
          <w:szCs w:val="24"/>
          <w14:ligatures w14:val="none"/>
        </w:rPr>
        <w:t>PASOS. Revista de Turismo y Patrimonio Cultural</w:t>
      </w:r>
      <w:r w:rsidRPr="00D44E2B">
        <w:rPr>
          <w:rFonts w:ascii="Calibri" w:hAnsi="Calibri" w:cs="Calibri"/>
          <w:kern w:val="0"/>
          <w:sz w:val="24"/>
          <w:szCs w:val="24"/>
          <w14:ligatures w14:val="none"/>
        </w:rPr>
        <w:t xml:space="preserve">, 9(2), 291-303. [fecha de consulta 10 de octubre de 2022]. ISSN: 1695-7121. </w:t>
      </w:r>
      <w:hyperlink r:id="rId17">
        <w:r w:rsidRPr="00D44E2B">
          <w:rPr>
            <w:rFonts w:ascii="Calibri" w:hAnsi="Calibri" w:cs="Calibri"/>
            <w:color w:val="467886" w:themeColor="hyperlink"/>
            <w:kern w:val="0"/>
            <w:sz w:val="24"/>
            <w:szCs w:val="24"/>
            <w:u w:val="single"/>
            <w14:ligatures w14:val="none"/>
          </w:rPr>
          <w:t>https://www.redalyc.org/articulo.oa?id=88117284006</w:t>
        </w:r>
      </w:hyperlink>
    </w:p>
    <w:p w14:paraId="614106B1" w14:textId="5958BC27" w:rsidR="0049583F" w:rsidRPr="0012190E" w:rsidRDefault="0049583F" w:rsidP="003D0615">
      <w:pPr>
        <w:suppressAutoHyphens/>
        <w:spacing w:line="240" w:lineRule="auto"/>
        <w:ind w:left="709" w:hanging="709"/>
        <w:jc w:val="both"/>
        <w:rPr>
          <w:rFonts w:ascii="Calibri" w:hAnsi="Calibri" w:cs="Calibri"/>
          <w:kern w:val="0"/>
          <w:sz w:val="24"/>
          <w:szCs w:val="24"/>
          <w14:ligatures w14:val="none"/>
        </w:rPr>
      </w:pPr>
      <w:r w:rsidRPr="00A521EC">
        <w:rPr>
          <w:rFonts w:ascii="Calibri" w:hAnsi="Calibri" w:cs="Calibri"/>
          <w:kern w:val="0"/>
          <w:sz w:val="24"/>
          <w:szCs w:val="24"/>
          <w14:ligatures w14:val="none"/>
        </w:rPr>
        <w:t>B</w:t>
      </w:r>
      <w:r w:rsidR="00A521EC" w:rsidRPr="00A521EC">
        <w:rPr>
          <w:rFonts w:ascii="Calibri" w:hAnsi="Calibri" w:cs="Calibri"/>
          <w:kern w:val="0"/>
          <w:sz w:val="24"/>
          <w:szCs w:val="24"/>
          <w14:ligatures w14:val="none"/>
        </w:rPr>
        <w:t>rida</w:t>
      </w:r>
      <w:r w:rsidRPr="00A521EC">
        <w:rPr>
          <w:rFonts w:ascii="Calibri" w:hAnsi="Calibri" w:cs="Calibri"/>
          <w:kern w:val="0"/>
          <w:sz w:val="24"/>
          <w:szCs w:val="24"/>
          <w14:ligatures w14:val="none"/>
        </w:rPr>
        <w:t xml:space="preserve">, J. G., </w:t>
      </w:r>
      <w:proofErr w:type="spellStart"/>
      <w:r w:rsidRPr="00A521EC">
        <w:rPr>
          <w:rFonts w:ascii="Calibri" w:hAnsi="Calibri" w:cs="Calibri"/>
          <w:kern w:val="0"/>
          <w:sz w:val="24"/>
          <w:szCs w:val="24"/>
          <w14:ligatures w14:val="none"/>
        </w:rPr>
        <w:t>M</w:t>
      </w:r>
      <w:r w:rsidR="00A521EC" w:rsidRPr="00A521EC">
        <w:rPr>
          <w:rFonts w:ascii="Calibri" w:hAnsi="Calibri" w:cs="Calibri"/>
          <w:kern w:val="0"/>
          <w:sz w:val="24"/>
          <w:szCs w:val="24"/>
          <w14:ligatures w14:val="none"/>
        </w:rPr>
        <w:t>atesanz</w:t>
      </w:r>
      <w:proofErr w:type="spellEnd"/>
      <w:r w:rsidRPr="00A521EC">
        <w:rPr>
          <w:rFonts w:ascii="Calibri" w:hAnsi="Calibri" w:cs="Calibri"/>
          <w:kern w:val="0"/>
          <w:sz w:val="24"/>
          <w:szCs w:val="24"/>
          <w14:ligatures w14:val="none"/>
        </w:rPr>
        <w:t xml:space="preserve"> G</w:t>
      </w:r>
      <w:r w:rsidR="00A521EC" w:rsidRPr="00A521EC">
        <w:rPr>
          <w:rFonts w:ascii="Calibri" w:hAnsi="Calibri" w:cs="Calibri"/>
          <w:kern w:val="0"/>
          <w:sz w:val="24"/>
          <w:szCs w:val="24"/>
          <w14:ligatures w14:val="none"/>
        </w:rPr>
        <w:t>ómez</w:t>
      </w:r>
      <w:r w:rsidRPr="00A521EC">
        <w:rPr>
          <w:rFonts w:ascii="Calibri" w:hAnsi="Calibri" w:cs="Calibri"/>
          <w:kern w:val="0"/>
          <w:sz w:val="24"/>
          <w:szCs w:val="24"/>
          <w14:ligatures w14:val="none"/>
        </w:rPr>
        <w:t xml:space="preserve">, D., </w:t>
      </w:r>
      <w:r w:rsidR="009804DF">
        <w:rPr>
          <w:rFonts w:ascii="Calibri" w:hAnsi="Calibri" w:cs="Calibri"/>
          <w:kern w:val="0"/>
          <w:sz w:val="24"/>
          <w:szCs w:val="24"/>
          <w14:ligatures w14:val="none"/>
        </w:rPr>
        <w:t>&amp;</w:t>
      </w:r>
      <w:r w:rsidRPr="00A521EC">
        <w:rPr>
          <w:rFonts w:ascii="Calibri" w:hAnsi="Calibri" w:cs="Calibri"/>
          <w:kern w:val="0"/>
          <w:sz w:val="24"/>
          <w:szCs w:val="24"/>
          <w14:ligatures w14:val="none"/>
        </w:rPr>
        <w:t xml:space="preserve"> S</w:t>
      </w:r>
      <w:r w:rsidR="00A521EC" w:rsidRPr="00A521EC">
        <w:rPr>
          <w:rFonts w:ascii="Calibri" w:hAnsi="Calibri" w:cs="Calibri"/>
          <w:kern w:val="0"/>
          <w:sz w:val="24"/>
          <w:szCs w:val="24"/>
          <w14:ligatures w14:val="none"/>
        </w:rPr>
        <w:t>egarra</w:t>
      </w:r>
      <w:r w:rsidRPr="00A521EC">
        <w:rPr>
          <w:rFonts w:ascii="Calibri" w:hAnsi="Calibri" w:cs="Calibri"/>
          <w:kern w:val="0"/>
          <w:sz w:val="24"/>
          <w:szCs w:val="24"/>
          <w14:ligatures w14:val="none"/>
        </w:rPr>
        <w:t>, V. (2020)</w:t>
      </w:r>
      <w:r w:rsidR="00A521EC" w:rsidRPr="00A521EC">
        <w:rPr>
          <w:rFonts w:ascii="Calibri" w:hAnsi="Calibri" w:cs="Calibri"/>
          <w:kern w:val="0"/>
          <w:sz w:val="24"/>
          <w:szCs w:val="24"/>
          <w14:ligatures w14:val="none"/>
        </w:rPr>
        <w:t xml:space="preserve">. </w:t>
      </w:r>
      <w:r w:rsidRPr="00D44E2B">
        <w:rPr>
          <w:rFonts w:ascii="Calibri" w:hAnsi="Calibri" w:cs="Calibri"/>
          <w:kern w:val="0"/>
          <w:sz w:val="24"/>
          <w:szCs w:val="24"/>
          <w:lang w:val="en-US"/>
          <w14:ligatures w14:val="none"/>
        </w:rPr>
        <w:t>On the empirical relationship between tourism and economic growth</w:t>
      </w:r>
      <w:r w:rsidR="00A521EC">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proofErr w:type="spellStart"/>
      <w:r w:rsidRPr="0012190E">
        <w:rPr>
          <w:rFonts w:ascii="Calibri" w:hAnsi="Calibri" w:cs="Calibri"/>
          <w:i/>
          <w:iCs/>
          <w:kern w:val="0"/>
          <w:sz w:val="24"/>
          <w:szCs w:val="24"/>
          <w14:ligatures w14:val="none"/>
        </w:rPr>
        <w:t>Tourism</w:t>
      </w:r>
      <w:proofErr w:type="spellEnd"/>
      <w:r w:rsidRPr="0012190E">
        <w:rPr>
          <w:rFonts w:ascii="Calibri" w:hAnsi="Calibri" w:cs="Calibri"/>
          <w:i/>
          <w:iCs/>
          <w:kern w:val="0"/>
          <w:sz w:val="24"/>
          <w:szCs w:val="24"/>
          <w14:ligatures w14:val="none"/>
        </w:rPr>
        <w:t xml:space="preserve"> Management</w:t>
      </w:r>
      <w:r w:rsidRPr="0012190E">
        <w:rPr>
          <w:rFonts w:ascii="Calibri" w:hAnsi="Calibri" w:cs="Calibri"/>
          <w:kern w:val="0"/>
          <w:sz w:val="24"/>
          <w:szCs w:val="24"/>
          <w14:ligatures w14:val="none"/>
        </w:rPr>
        <w:t>, 81.</w:t>
      </w:r>
      <w:r w:rsidR="00A521EC" w:rsidRPr="0012190E">
        <w:rPr>
          <w:rFonts w:ascii="Calibri" w:hAnsi="Calibri" w:cs="Calibri"/>
          <w:kern w:val="0"/>
          <w:sz w:val="24"/>
          <w:szCs w:val="24"/>
          <w14:ligatures w14:val="none"/>
        </w:rPr>
        <w:t xml:space="preserve"> </w:t>
      </w:r>
      <w:hyperlink r:id="rId18">
        <w:r w:rsidRPr="0012190E">
          <w:rPr>
            <w:rFonts w:ascii="Calibri" w:hAnsi="Calibri" w:cs="Calibri"/>
            <w:color w:val="467886" w:themeColor="hyperlink"/>
            <w:kern w:val="0"/>
            <w:sz w:val="24"/>
            <w:szCs w:val="24"/>
            <w:u w:val="single"/>
            <w14:ligatures w14:val="none"/>
          </w:rPr>
          <w:t>https://doi.org/10.1016/j.tourman.2020.104131</w:t>
        </w:r>
      </w:hyperlink>
    </w:p>
    <w:p w14:paraId="16AA9350" w14:textId="507AFDE1" w:rsidR="0049583F" w:rsidRPr="00A521EC" w:rsidRDefault="0049583F" w:rsidP="003D0615">
      <w:pPr>
        <w:suppressAutoHyphens/>
        <w:spacing w:line="240" w:lineRule="auto"/>
        <w:ind w:left="709" w:hanging="709"/>
        <w:jc w:val="both"/>
        <w:rPr>
          <w:rFonts w:ascii="Calibri" w:hAnsi="Calibri" w:cs="Calibri"/>
          <w:kern w:val="0"/>
          <w:sz w:val="24"/>
          <w:szCs w:val="24"/>
          <w14:ligatures w14:val="none"/>
        </w:rPr>
      </w:pPr>
      <w:r w:rsidRPr="0012190E">
        <w:rPr>
          <w:rFonts w:ascii="Calibri" w:hAnsi="Calibri" w:cs="Calibri"/>
          <w:kern w:val="0"/>
          <w:sz w:val="24"/>
          <w:szCs w:val="24"/>
          <w14:ligatures w14:val="none"/>
        </w:rPr>
        <w:t>B</w:t>
      </w:r>
      <w:r w:rsidR="00A521EC" w:rsidRPr="0012190E">
        <w:rPr>
          <w:rFonts w:ascii="Calibri" w:hAnsi="Calibri" w:cs="Calibri"/>
          <w:kern w:val="0"/>
          <w:sz w:val="24"/>
          <w:szCs w:val="24"/>
          <w14:ligatures w14:val="none"/>
        </w:rPr>
        <w:t>rida</w:t>
      </w:r>
      <w:r w:rsidRPr="0012190E">
        <w:rPr>
          <w:rFonts w:ascii="Calibri" w:hAnsi="Calibri" w:cs="Calibri"/>
          <w:kern w:val="0"/>
          <w:sz w:val="24"/>
          <w:szCs w:val="24"/>
          <w14:ligatures w14:val="none"/>
        </w:rPr>
        <w:t>, J., A</w:t>
      </w:r>
      <w:r w:rsidR="00A521EC" w:rsidRPr="0012190E">
        <w:rPr>
          <w:rFonts w:ascii="Calibri" w:hAnsi="Calibri" w:cs="Calibri"/>
          <w:kern w:val="0"/>
          <w:sz w:val="24"/>
          <w:szCs w:val="24"/>
          <w14:ligatures w14:val="none"/>
        </w:rPr>
        <w:t>lberto</w:t>
      </w:r>
      <w:r w:rsidRPr="0012190E">
        <w:rPr>
          <w:rFonts w:ascii="Calibri" w:hAnsi="Calibri" w:cs="Calibri"/>
          <w:kern w:val="0"/>
          <w:sz w:val="24"/>
          <w:szCs w:val="24"/>
          <w14:ligatures w14:val="none"/>
        </w:rPr>
        <w:t>, M., B</w:t>
      </w:r>
      <w:r w:rsidR="00A521EC" w:rsidRPr="0012190E">
        <w:rPr>
          <w:rFonts w:ascii="Calibri" w:hAnsi="Calibri" w:cs="Calibri"/>
          <w:kern w:val="0"/>
          <w:sz w:val="24"/>
          <w:szCs w:val="24"/>
          <w14:ligatures w14:val="none"/>
        </w:rPr>
        <w:t>rindis</w:t>
      </w:r>
      <w:r w:rsidRPr="0012190E">
        <w:rPr>
          <w:rFonts w:ascii="Calibri" w:hAnsi="Calibri" w:cs="Calibri"/>
          <w:kern w:val="0"/>
          <w:sz w:val="24"/>
          <w:szCs w:val="24"/>
          <w14:ligatures w14:val="none"/>
        </w:rPr>
        <w:t>, R., y M</w:t>
      </w:r>
      <w:r w:rsidR="00A521EC" w:rsidRPr="0012190E">
        <w:rPr>
          <w:rFonts w:ascii="Calibri" w:hAnsi="Calibri" w:cs="Calibri"/>
          <w:kern w:val="0"/>
          <w:sz w:val="24"/>
          <w:szCs w:val="24"/>
          <w14:ligatures w14:val="none"/>
        </w:rPr>
        <w:t>ejía</w:t>
      </w:r>
      <w:r w:rsidRPr="0012190E">
        <w:rPr>
          <w:rFonts w:ascii="Calibri" w:hAnsi="Calibri" w:cs="Calibri"/>
          <w:kern w:val="0"/>
          <w:sz w:val="24"/>
          <w:szCs w:val="24"/>
          <w14:ligatures w14:val="none"/>
        </w:rPr>
        <w:t>-</w:t>
      </w:r>
      <w:proofErr w:type="spellStart"/>
      <w:r w:rsidRPr="0012190E">
        <w:rPr>
          <w:rFonts w:ascii="Calibri" w:hAnsi="Calibri" w:cs="Calibri"/>
          <w:kern w:val="0"/>
          <w:sz w:val="24"/>
          <w:szCs w:val="24"/>
          <w14:ligatures w14:val="none"/>
        </w:rPr>
        <w:t>A</w:t>
      </w:r>
      <w:r w:rsidR="00A521EC" w:rsidRPr="0012190E">
        <w:rPr>
          <w:rFonts w:ascii="Calibri" w:hAnsi="Calibri" w:cs="Calibri"/>
          <w:kern w:val="0"/>
          <w:sz w:val="24"/>
          <w:szCs w:val="24"/>
          <w14:ligatures w14:val="none"/>
        </w:rPr>
        <w:t>lzate</w:t>
      </w:r>
      <w:proofErr w:type="spellEnd"/>
      <w:r w:rsidRPr="0012190E">
        <w:rPr>
          <w:rFonts w:ascii="Calibri" w:hAnsi="Calibri" w:cs="Calibri"/>
          <w:kern w:val="0"/>
          <w:sz w:val="24"/>
          <w:szCs w:val="24"/>
          <w14:ligatures w14:val="none"/>
        </w:rPr>
        <w:t>, M.L. (2021)</w:t>
      </w:r>
      <w:r w:rsidR="00A521EC" w:rsidRPr="0012190E">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La contribución del turismo al crecimiento económico de la ciudad de Medellín, Colombia</w:t>
      </w:r>
      <w:r w:rsidR="00A521EC">
        <w:rPr>
          <w:rFonts w:ascii="Calibri" w:hAnsi="Calibri" w:cs="Calibri"/>
          <w:kern w:val="0"/>
          <w:sz w:val="24"/>
          <w:szCs w:val="24"/>
          <w14:ligatures w14:val="none"/>
        </w:rPr>
        <w:t>.</w:t>
      </w:r>
      <w:r w:rsidRPr="00D44E2B">
        <w:rPr>
          <w:rFonts w:ascii="Calibri" w:hAnsi="Calibri" w:cs="Calibri"/>
          <w:kern w:val="0"/>
          <w:sz w:val="24"/>
          <w:szCs w:val="24"/>
          <w14:ligatures w14:val="none"/>
        </w:rPr>
        <w:t xml:space="preserve"> </w:t>
      </w:r>
      <w:r w:rsidRPr="00D44E2B">
        <w:rPr>
          <w:rFonts w:ascii="Calibri" w:hAnsi="Calibri" w:cs="Calibri"/>
          <w:i/>
          <w:iCs/>
          <w:kern w:val="0"/>
          <w:sz w:val="24"/>
          <w:szCs w:val="24"/>
          <w14:ligatures w14:val="none"/>
        </w:rPr>
        <w:t xml:space="preserve">Revista de Economía del </w:t>
      </w:r>
      <w:r w:rsidRPr="00D44E2B">
        <w:rPr>
          <w:rFonts w:ascii="Calibri" w:hAnsi="Calibri" w:cs="Calibri"/>
          <w:i/>
          <w:iCs/>
          <w:kern w:val="0"/>
          <w:sz w:val="24"/>
          <w:szCs w:val="24"/>
          <w14:ligatures w14:val="none"/>
        </w:rPr>
        <w:lastRenderedPageBreak/>
        <w:t>Rosario</w:t>
      </w:r>
      <w:r w:rsidRPr="00D44E2B">
        <w:rPr>
          <w:rFonts w:ascii="Calibri" w:hAnsi="Calibri" w:cs="Calibri"/>
          <w:kern w:val="0"/>
          <w:sz w:val="24"/>
          <w:szCs w:val="24"/>
          <w14:ligatures w14:val="none"/>
        </w:rPr>
        <w:t xml:space="preserve">. </w:t>
      </w:r>
      <w:r w:rsidRPr="009A06B8">
        <w:rPr>
          <w:rFonts w:ascii="Calibri" w:hAnsi="Calibri" w:cs="Calibri"/>
          <w:kern w:val="0"/>
          <w:sz w:val="24"/>
          <w:szCs w:val="24"/>
          <w14:ligatures w14:val="none"/>
        </w:rPr>
        <w:t xml:space="preserve">Vol. 24 (1), pp. 1-23. </w:t>
      </w:r>
      <w:r w:rsidRPr="009A06B8">
        <w:rPr>
          <w:rFonts w:ascii="Calibri" w:hAnsi="Calibri" w:cs="Calibri"/>
          <w:color w:val="000000"/>
          <w:kern w:val="0"/>
          <w:sz w:val="24"/>
          <w:szCs w:val="24"/>
          <w14:ligatures w14:val="none"/>
        </w:rPr>
        <w:t xml:space="preserve"> ISSN 0123-5362. </w:t>
      </w:r>
      <w:hyperlink r:id="rId19">
        <w:r w:rsidRPr="00A521EC">
          <w:rPr>
            <w:rFonts w:ascii="Calibri" w:hAnsi="Calibri" w:cs="Calibri"/>
            <w:color w:val="467886" w:themeColor="hyperlink"/>
            <w:kern w:val="0"/>
            <w:sz w:val="24"/>
            <w:szCs w:val="24"/>
            <w:u w:val="single"/>
            <w:shd w:val="clear" w:color="auto" w:fill="FFFFFF"/>
            <w14:ligatures w14:val="none"/>
          </w:rPr>
          <w:t>https://doi.org/10.12804/revistas.urosario.edu.co/economia/a.8926</w:t>
        </w:r>
      </w:hyperlink>
    </w:p>
    <w:p w14:paraId="2B4BDB48" w14:textId="1715C1B8" w:rsidR="00A30204" w:rsidRDefault="0049583F" w:rsidP="003D0615">
      <w:pPr>
        <w:suppressAutoHyphens/>
        <w:spacing w:line="240" w:lineRule="auto"/>
        <w:ind w:left="709" w:hanging="709"/>
        <w:jc w:val="both"/>
        <w:rPr>
          <w:rFonts w:ascii="Calibri" w:eastAsia="Times New Roman" w:hAnsi="Calibri" w:cs="Calibri"/>
          <w:kern w:val="0"/>
          <w:sz w:val="24"/>
          <w:szCs w:val="24"/>
          <w:lang w:eastAsia="es-MX"/>
          <w14:ligatures w14:val="none"/>
        </w:rPr>
      </w:pPr>
      <w:r w:rsidRPr="0012190E">
        <w:rPr>
          <w:rFonts w:ascii="Calibri" w:eastAsia="Times New Roman" w:hAnsi="Calibri" w:cs="Calibri"/>
          <w:kern w:val="0"/>
          <w:sz w:val="24"/>
          <w:szCs w:val="24"/>
          <w:lang w:val="fr-FR" w:eastAsia="es-MX"/>
          <w14:ligatures w14:val="none"/>
        </w:rPr>
        <w:t>C</w:t>
      </w:r>
      <w:r w:rsidR="00892C46" w:rsidRPr="0012190E">
        <w:rPr>
          <w:rFonts w:ascii="Calibri" w:eastAsia="Times New Roman" w:hAnsi="Calibri" w:cs="Calibri"/>
          <w:kern w:val="0"/>
          <w:sz w:val="24"/>
          <w:szCs w:val="24"/>
          <w:lang w:val="fr-FR" w:eastAsia="es-MX"/>
          <w14:ligatures w14:val="none"/>
        </w:rPr>
        <w:t>assel</w:t>
      </w:r>
      <w:r w:rsidRPr="0012190E">
        <w:rPr>
          <w:rFonts w:ascii="Calibri" w:eastAsia="Times New Roman" w:hAnsi="Calibri" w:cs="Calibri"/>
          <w:kern w:val="0"/>
          <w:sz w:val="24"/>
          <w:szCs w:val="24"/>
          <w:lang w:val="fr-FR" w:eastAsia="es-MX"/>
          <w14:ligatures w14:val="none"/>
        </w:rPr>
        <w:t xml:space="preserve">, S. </w:t>
      </w:r>
      <w:r w:rsidR="009804DF">
        <w:rPr>
          <w:rFonts w:ascii="Calibri" w:eastAsia="Times New Roman" w:hAnsi="Calibri" w:cs="Calibri"/>
          <w:kern w:val="0"/>
          <w:sz w:val="24"/>
          <w:szCs w:val="24"/>
          <w:lang w:val="fr-FR" w:eastAsia="es-MX"/>
          <w14:ligatures w14:val="none"/>
        </w:rPr>
        <w:t>&amp;</w:t>
      </w:r>
      <w:r w:rsidRPr="0012190E">
        <w:rPr>
          <w:rFonts w:ascii="Calibri" w:eastAsia="Times New Roman" w:hAnsi="Calibri" w:cs="Calibri"/>
          <w:kern w:val="0"/>
          <w:sz w:val="24"/>
          <w:szCs w:val="24"/>
          <w:lang w:val="fr-FR" w:eastAsia="es-MX"/>
          <w14:ligatures w14:val="none"/>
        </w:rPr>
        <w:t xml:space="preserve"> </w:t>
      </w:r>
      <w:proofErr w:type="spellStart"/>
      <w:r w:rsidRPr="0012190E">
        <w:rPr>
          <w:rFonts w:ascii="Calibri" w:eastAsia="Times New Roman" w:hAnsi="Calibri" w:cs="Calibri"/>
          <w:kern w:val="0"/>
          <w:sz w:val="24"/>
          <w:szCs w:val="24"/>
          <w:lang w:val="fr-FR" w:eastAsia="es-MX"/>
          <w14:ligatures w14:val="none"/>
        </w:rPr>
        <w:t>P</w:t>
      </w:r>
      <w:r w:rsidR="00892C46" w:rsidRPr="0012190E">
        <w:rPr>
          <w:rFonts w:ascii="Calibri" w:eastAsia="Times New Roman" w:hAnsi="Calibri" w:cs="Calibri"/>
          <w:kern w:val="0"/>
          <w:sz w:val="24"/>
          <w:szCs w:val="24"/>
          <w:lang w:val="fr-FR" w:eastAsia="es-MX"/>
          <w14:ligatures w14:val="none"/>
        </w:rPr>
        <w:t>ashkevich</w:t>
      </w:r>
      <w:proofErr w:type="spellEnd"/>
      <w:r w:rsidRPr="0012190E">
        <w:rPr>
          <w:rFonts w:ascii="Calibri" w:eastAsia="Times New Roman" w:hAnsi="Calibri" w:cs="Calibri"/>
          <w:kern w:val="0"/>
          <w:sz w:val="24"/>
          <w:szCs w:val="24"/>
          <w:lang w:val="fr-FR" w:eastAsia="es-MX"/>
          <w14:ligatures w14:val="none"/>
        </w:rPr>
        <w:t>, A. (2014)</w:t>
      </w:r>
      <w:r w:rsidR="00892C46" w:rsidRPr="0012190E">
        <w:rPr>
          <w:rFonts w:ascii="Calibri" w:eastAsia="Times New Roman" w:hAnsi="Calibri" w:cs="Calibri"/>
          <w:kern w:val="0"/>
          <w:sz w:val="24"/>
          <w:szCs w:val="24"/>
          <w:lang w:val="fr-FR" w:eastAsia="es-MX"/>
          <w14:ligatures w14:val="none"/>
        </w:rPr>
        <w:t xml:space="preserve">. </w:t>
      </w:r>
      <w:r w:rsidRPr="00D44E2B">
        <w:rPr>
          <w:rFonts w:ascii="Calibri" w:eastAsia="Times New Roman" w:hAnsi="Calibri" w:cs="Calibri"/>
          <w:kern w:val="0"/>
          <w:sz w:val="24"/>
          <w:szCs w:val="24"/>
          <w:lang w:val="en-US" w:eastAsia="es-MX"/>
          <w14:ligatures w14:val="none"/>
        </w:rPr>
        <w:t xml:space="preserve">World Heritage and tourism innovation: institutional frameworks and local adaptation </w:t>
      </w:r>
      <w:r w:rsidRPr="00D44E2B">
        <w:rPr>
          <w:rFonts w:ascii="Calibri" w:eastAsia="Times New Roman" w:hAnsi="Calibri" w:cs="Calibri"/>
          <w:i/>
          <w:iCs/>
          <w:kern w:val="0"/>
          <w:sz w:val="24"/>
          <w:szCs w:val="24"/>
          <w:lang w:val="en-US" w:eastAsia="es-MX"/>
          <w14:ligatures w14:val="none"/>
        </w:rPr>
        <w:t xml:space="preserve">European Planning Studies </w:t>
      </w:r>
      <w:r w:rsidRPr="00D44E2B">
        <w:rPr>
          <w:rFonts w:ascii="Calibri" w:eastAsia="Times New Roman" w:hAnsi="Calibri" w:cs="Calibri"/>
          <w:kern w:val="0"/>
          <w:sz w:val="24"/>
          <w:szCs w:val="24"/>
          <w:lang w:val="en-US" w:eastAsia="es-MX"/>
          <w14:ligatures w14:val="none"/>
        </w:rPr>
        <w:t>22(8), 1625–1640.</w:t>
      </w:r>
      <w:r w:rsidRPr="00EE3327">
        <w:rPr>
          <w:rFonts w:ascii="Calibri" w:eastAsia="Times New Roman" w:hAnsi="Calibri" w:cs="Calibri"/>
          <w:kern w:val="0"/>
          <w:sz w:val="24"/>
          <w:szCs w:val="24"/>
          <w:lang w:val="en-US" w:eastAsia="es-MX"/>
          <w14:ligatures w14:val="none"/>
        </w:rPr>
        <w:t xml:space="preserve"> </w:t>
      </w:r>
      <w:r w:rsidR="00A30204" w:rsidRPr="00EE3327">
        <w:rPr>
          <w:rFonts w:ascii="Calibri" w:eastAsia="Times New Roman" w:hAnsi="Calibri" w:cs="Calibri"/>
          <w:kern w:val="0"/>
          <w:sz w:val="24"/>
          <w:szCs w:val="24"/>
          <w:lang w:val="en-US" w:eastAsia="es-MX"/>
          <w14:ligatures w14:val="none"/>
        </w:rPr>
        <w:t xml:space="preserve"> </w:t>
      </w:r>
      <w:hyperlink r:id="rId20" w:history="1">
        <w:r w:rsidR="00A30204" w:rsidRPr="00275467">
          <w:rPr>
            <w:rStyle w:val="Hipervnculo"/>
            <w:rFonts w:ascii="Calibri" w:eastAsia="Times New Roman" w:hAnsi="Calibri" w:cs="Calibri"/>
            <w:kern w:val="0"/>
            <w:sz w:val="24"/>
            <w:szCs w:val="24"/>
            <w:lang w:eastAsia="es-MX"/>
            <w14:ligatures w14:val="none"/>
          </w:rPr>
          <w:t>https://doi.org/10.1080/09654313.2013.784605</w:t>
        </w:r>
      </w:hyperlink>
    </w:p>
    <w:p w14:paraId="06854599" w14:textId="065AE10D" w:rsidR="0049583F" w:rsidRDefault="0049583F" w:rsidP="003D0615">
      <w:pPr>
        <w:suppressAutoHyphens/>
        <w:spacing w:line="240" w:lineRule="auto"/>
        <w:ind w:left="709" w:hanging="709"/>
        <w:jc w:val="both"/>
      </w:pPr>
      <w:r w:rsidRPr="00D44E2B">
        <w:rPr>
          <w:rFonts w:ascii="Calibri" w:hAnsi="Calibri" w:cs="Calibri"/>
          <w:kern w:val="0"/>
          <w:sz w:val="24"/>
          <w:szCs w:val="24"/>
          <w14:ligatures w14:val="none"/>
        </w:rPr>
        <w:t>CONANP (Comisión Nacional de Áreas Naturales Protegidas). (2018)</w:t>
      </w:r>
      <w:r w:rsidR="00A30204">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Marco Estratégico de Turismo Sustentable en Áreas Protegidas de México</w:t>
      </w:r>
      <w:r w:rsidR="00A30204">
        <w:rPr>
          <w:rFonts w:ascii="Calibri" w:hAnsi="Calibri" w:cs="Calibri"/>
          <w:kern w:val="0"/>
          <w:sz w:val="24"/>
          <w:szCs w:val="24"/>
          <w14:ligatures w14:val="none"/>
        </w:rPr>
        <w:t>.</w:t>
      </w:r>
      <w:r w:rsidRPr="00D44E2B">
        <w:rPr>
          <w:rFonts w:ascii="Calibri" w:hAnsi="Calibri" w:cs="Calibri"/>
          <w:kern w:val="0"/>
          <w:sz w:val="24"/>
          <w:szCs w:val="24"/>
          <w14:ligatures w14:val="none"/>
        </w:rPr>
        <w:t xml:space="preserve"> </w:t>
      </w:r>
      <w:hyperlink r:id="rId21">
        <w:r w:rsidRPr="00D44E2B">
          <w:rPr>
            <w:rFonts w:ascii="Calibri" w:hAnsi="Calibri" w:cs="Calibri"/>
            <w:color w:val="467886" w:themeColor="hyperlink"/>
            <w:kern w:val="0"/>
            <w:sz w:val="24"/>
            <w:szCs w:val="24"/>
            <w:u w:val="single"/>
            <w14:ligatures w14:val="none"/>
          </w:rPr>
          <w:t>https://www.conanp.gob.mx/acciones/advc/MarcoEstrategico.pdf</w:t>
        </w:r>
      </w:hyperlink>
    </w:p>
    <w:p w14:paraId="4D4348CB" w14:textId="0F8F747A" w:rsidR="0088435F" w:rsidRPr="00606B29" w:rsidRDefault="0088435F" w:rsidP="003D0615">
      <w:pPr>
        <w:suppressAutoHyphens/>
        <w:spacing w:line="240" w:lineRule="auto"/>
        <w:ind w:left="709" w:hanging="709"/>
        <w:jc w:val="both"/>
        <w:rPr>
          <w:rFonts w:ascii="Calibri" w:hAnsi="Calibri" w:cs="Calibri"/>
          <w:kern w:val="0"/>
          <w:sz w:val="24"/>
          <w:szCs w:val="24"/>
          <w:lang w:val="en-US"/>
          <w14:ligatures w14:val="none"/>
        </w:rPr>
      </w:pPr>
      <w:r>
        <w:rPr>
          <w:rFonts w:ascii="Calibri" w:hAnsi="Calibri" w:cs="Calibri"/>
          <w:kern w:val="0"/>
          <w:sz w:val="24"/>
          <w:szCs w:val="24"/>
          <w14:ligatures w14:val="none"/>
        </w:rPr>
        <w:t xml:space="preserve">CONANP. (2025). Numeralia ANP. Áreas Naturales Protegidas Federales según su categoría de manejo. </w:t>
      </w:r>
      <w:hyperlink r:id="rId22" w:history="1">
        <w:r w:rsidRPr="00606B29">
          <w:rPr>
            <w:rStyle w:val="Hipervnculo"/>
            <w:rFonts w:ascii="Calibri" w:hAnsi="Calibri" w:cs="Calibri"/>
            <w:kern w:val="0"/>
            <w:sz w:val="24"/>
            <w:szCs w:val="24"/>
            <w:lang w:val="en-US"/>
            <w14:ligatures w14:val="none"/>
          </w:rPr>
          <w:t>https://simec.conanp.gob.mx/numeralia.php</w:t>
        </w:r>
      </w:hyperlink>
    </w:p>
    <w:p w14:paraId="41CBC04B" w14:textId="5A7E88DB" w:rsidR="0049583F" w:rsidRPr="00C81465" w:rsidRDefault="0049583F" w:rsidP="003D0615">
      <w:pPr>
        <w:suppressAutoHyphens/>
        <w:spacing w:line="240" w:lineRule="auto"/>
        <w:ind w:left="709" w:hanging="709"/>
        <w:jc w:val="both"/>
        <w:rPr>
          <w:rFonts w:ascii="Calibri" w:hAnsi="Calibri" w:cs="Calibri"/>
          <w:kern w:val="0"/>
          <w:sz w:val="24"/>
          <w:szCs w:val="24"/>
          <w:u w:val="single"/>
          <w14:ligatures w14:val="none"/>
        </w:rPr>
      </w:pPr>
      <w:proofErr w:type="spellStart"/>
      <w:r w:rsidRPr="00ED0864">
        <w:rPr>
          <w:rFonts w:ascii="Calibri" w:hAnsi="Calibri" w:cs="Calibri"/>
          <w:kern w:val="0"/>
          <w:sz w:val="24"/>
          <w:szCs w:val="24"/>
          <w:lang w:val="en-US"/>
          <w14:ligatures w14:val="none"/>
        </w:rPr>
        <w:t>C</w:t>
      </w:r>
      <w:r w:rsidR="00EE3327" w:rsidRPr="00ED0864">
        <w:rPr>
          <w:rFonts w:ascii="Calibri" w:hAnsi="Calibri" w:cs="Calibri"/>
          <w:kern w:val="0"/>
          <w:sz w:val="24"/>
          <w:szCs w:val="24"/>
          <w:lang w:val="en-US"/>
          <w14:ligatures w14:val="none"/>
        </w:rPr>
        <w:t>uliuc</w:t>
      </w:r>
      <w:proofErr w:type="spellEnd"/>
      <w:r w:rsidRPr="00ED0864">
        <w:rPr>
          <w:rFonts w:ascii="Calibri" w:hAnsi="Calibri" w:cs="Calibri"/>
          <w:kern w:val="0"/>
          <w:sz w:val="24"/>
          <w:szCs w:val="24"/>
          <w:lang w:val="en-US"/>
          <w14:ligatures w14:val="none"/>
        </w:rPr>
        <w:t>, A. (2014)</w:t>
      </w:r>
      <w:r w:rsidR="00EE3327" w:rsidRPr="00ED0864">
        <w:rPr>
          <w:rFonts w:ascii="Calibri" w:hAnsi="Calibri" w:cs="Calibri"/>
          <w:kern w:val="0"/>
          <w:sz w:val="24"/>
          <w:szCs w:val="24"/>
          <w:lang w:val="en-US"/>
          <w14:ligatures w14:val="none"/>
        </w:rPr>
        <w:t xml:space="preserve">. </w:t>
      </w:r>
      <w:r w:rsidRPr="00D44E2B">
        <w:rPr>
          <w:rFonts w:ascii="Calibri" w:hAnsi="Calibri" w:cs="Calibri"/>
          <w:kern w:val="0"/>
          <w:sz w:val="24"/>
          <w:szCs w:val="24"/>
          <w:lang w:val="en-US"/>
          <w14:ligatures w14:val="none"/>
        </w:rPr>
        <w:t>Determinants of International Tourism</w:t>
      </w:r>
      <w:r w:rsidR="00EE3327">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Working Paper No. 14/82, </w:t>
      </w:r>
      <w:r w:rsidRPr="00D44E2B">
        <w:rPr>
          <w:rFonts w:ascii="Calibri" w:hAnsi="Calibri" w:cs="Calibri"/>
          <w:i/>
          <w:iCs/>
          <w:kern w:val="0"/>
          <w:sz w:val="24"/>
          <w:szCs w:val="24"/>
          <w:lang w:val="en-US"/>
          <w14:ligatures w14:val="none"/>
        </w:rPr>
        <w:t>International Monetary Fund (IMF)</w:t>
      </w:r>
      <w:r w:rsidRPr="00D44E2B">
        <w:rPr>
          <w:rFonts w:ascii="Calibri" w:hAnsi="Calibri" w:cs="Calibri"/>
          <w:kern w:val="0"/>
          <w:sz w:val="24"/>
          <w:szCs w:val="24"/>
          <w:lang w:val="en-US"/>
          <w14:ligatures w14:val="none"/>
        </w:rPr>
        <w:t xml:space="preserve">, 2014. </w:t>
      </w:r>
      <w:hyperlink r:id="rId23" w:tgtFrame="_blank">
        <w:r w:rsidRPr="00C81465">
          <w:rPr>
            <w:rFonts w:ascii="Calibri" w:hAnsi="Calibri" w:cs="Calibri"/>
            <w:kern w:val="0"/>
            <w:sz w:val="24"/>
            <w:szCs w:val="24"/>
            <w:u w:val="single"/>
            <w14:ligatures w14:val="none"/>
          </w:rPr>
          <w:t>https://www.imf.org/external/pubs/ft/wp/2014/wp1482.pdf</w:t>
        </w:r>
      </w:hyperlink>
    </w:p>
    <w:p w14:paraId="2B43F46C" w14:textId="05FA2970" w:rsidR="0049583F" w:rsidRPr="009A06B8" w:rsidRDefault="0049583F" w:rsidP="003D0615">
      <w:pPr>
        <w:suppressAutoHyphens/>
        <w:spacing w:line="240" w:lineRule="auto"/>
        <w:ind w:left="709" w:hanging="709"/>
        <w:rPr>
          <w:rFonts w:ascii="Calibri" w:hAnsi="Calibri" w:cs="Calibri"/>
          <w:color w:val="467886" w:themeColor="hyperlink"/>
          <w:kern w:val="0"/>
          <w:sz w:val="24"/>
          <w:szCs w:val="24"/>
          <w:u w:val="single"/>
          <w:lang w:val="en-US"/>
          <w14:ligatures w14:val="none"/>
        </w:rPr>
      </w:pPr>
      <w:proofErr w:type="spellStart"/>
      <w:r w:rsidRPr="00C81465">
        <w:rPr>
          <w:rFonts w:ascii="Calibri" w:hAnsi="Calibri" w:cs="Calibri"/>
          <w:kern w:val="0"/>
          <w:sz w:val="24"/>
          <w:szCs w:val="24"/>
          <w14:ligatures w14:val="none"/>
        </w:rPr>
        <w:t>D</w:t>
      </w:r>
      <w:r w:rsidR="008709AB" w:rsidRPr="00C81465">
        <w:rPr>
          <w:rFonts w:ascii="Calibri" w:hAnsi="Calibri" w:cs="Calibri"/>
          <w:kern w:val="0"/>
          <w:sz w:val="24"/>
          <w:szCs w:val="24"/>
          <w14:ligatures w14:val="none"/>
        </w:rPr>
        <w:t>ougan</w:t>
      </w:r>
      <w:proofErr w:type="spellEnd"/>
      <w:r w:rsidRPr="00C81465">
        <w:rPr>
          <w:rFonts w:ascii="Calibri" w:hAnsi="Calibri" w:cs="Calibri"/>
          <w:kern w:val="0"/>
          <w:sz w:val="24"/>
          <w:szCs w:val="24"/>
          <w14:ligatures w14:val="none"/>
        </w:rPr>
        <w:t>, J. W. (2007)</w:t>
      </w:r>
      <w:r w:rsidR="008709AB" w:rsidRPr="00C81465">
        <w:rPr>
          <w:rFonts w:ascii="Calibri" w:hAnsi="Calibri" w:cs="Calibri"/>
          <w:kern w:val="0"/>
          <w:sz w:val="24"/>
          <w:szCs w:val="24"/>
          <w14:ligatures w14:val="none"/>
        </w:rPr>
        <w:t xml:space="preserve">. </w:t>
      </w:r>
      <w:r w:rsidRPr="00D44E2B">
        <w:rPr>
          <w:rFonts w:ascii="Calibri" w:hAnsi="Calibri" w:cs="Calibri"/>
          <w:kern w:val="0"/>
          <w:sz w:val="24"/>
          <w:szCs w:val="24"/>
          <w:lang w:val="en-US"/>
          <w14:ligatures w14:val="none"/>
        </w:rPr>
        <w:t>Analysis of Japanese tourist demand to Guam</w:t>
      </w:r>
      <w:r w:rsidR="008709AB">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r w:rsidRPr="009A06B8">
        <w:rPr>
          <w:rFonts w:ascii="Calibri" w:hAnsi="Calibri" w:cs="Calibri"/>
          <w:i/>
          <w:iCs/>
          <w:kern w:val="0"/>
          <w:sz w:val="24"/>
          <w:szCs w:val="24"/>
          <w:lang w:val="en-US"/>
          <w14:ligatures w14:val="none"/>
        </w:rPr>
        <w:t>Asia Pacific Journal of Tourism Research</w:t>
      </w:r>
      <w:r w:rsidRPr="009A06B8">
        <w:rPr>
          <w:rFonts w:ascii="Calibri" w:hAnsi="Calibri" w:cs="Calibri"/>
          <w:kern w:val="0"/>
          <w:sz w:val="24"/>
          <w:szCs w:val="24"/>
          <w:lang w:val="en-US"/>
          <w14:ligatures w14:val="none"/>
        </w:rPr>
        <w:t xml:space="preserve">, 12(2), 79-88. </w:t>
      </w:r>
      <w:hyperlink r:id="rId24">
        <w:r w:rsidRPr="009A06B8">
          <w:rPr>
            <w:rFonts w:ascii="Calibri" w:hAnsi="Calibri" w:cs="Calibri"/>
            <w:color w:val="467886" w:themeColor="hyperlink"/>
            <w:kern w:val="0"/>
            <w:sz w:val="24"/>
            <w:szCs w:val="24"/>
            <w:u w:val="single"/>
            <w:lang w:val="en-US"/>
            <w14:ligatures w14:val="none"/>
          </w:rPr>
          <w:t>https://doi.org/10.1080/10941660701243307</w:t>
        </w:r>
      </w:hyperlink>
    </w:p>
    <w:p w14:paraId="69048E0D" w14:textId="03730685" w:rsidR="0049583F" w:rsidRPr="002F0393" w:rsidRDefault="0049583F" w:rsidP="003D0615">
      <w:pPr>
        <w:widowControl w:val="0"/>
        <w:suppressAutoHyphens/>
        <w:spacing w:line="240" w:lineRule="auto"/>
        <w:ind w:left="709" w:hanging="709"/>
        <w:jc w:val="both"/>
        <w:rPr>
          <w:rFonts w:ascii="Calibri" w:hAnsi="Calibri" w:cs="Calibri"/>
          <w:kern w:val="0"/>
          <w:sz w:val="24"/>
          <w:szCs w:val="24"/>
          <w:lang w:val="en-US"/>
          <w14:ligatures w14:val="none"/>
        </w:rPr>
      </w:pPr>
      <w:r w:rsidRPr="009A06B8">
        <w:rPr>
          <w:rFonts w:ascii="Calibri" w:hAnsi="Calibri" w:cs="Calibri"/>
          <w:kern w:val="0"/>
          <w:sz w:val="24"/>
          <w:szCs w:val="24"/>
          <w:lang w:val="en-US"/>
          <w14:ligatures w14:val="none"/>
        </w:rPr>
        <w:t>D</w:t>
      </w:r>
      <w:r w:rsidR="008709AB" w:rsidRPr="009A06B8">
        <w:rPr>
          <w:rFonts w:ascii="Calibri" w:hAnsi="Calibri" w:cs="Calibri"/>
          <w:kern w:val="0"/>
          <w:sz w:val="24"/>
          <w:szCs w:val="24"/>
          <w:lang w:val="en-US"/>
          <w14:ligatures w14:val="none"/>
        </w:rPr>
        <w:t>udley</w:t>
      </w:r>
      <w:r w:rsidRPr="009A06B8">
        <w:rPr>
          <w:rFonts w:ascii="Calibri" w:hAnsi="Calibri" w:cs="Calibri"/>
          <w:kern w:val="0"/>
          <w:sz w:val="24"/>
          <w:szCs w:val="24"/>
          <w:lang w:val="en-US"/>
          <w14:ligatures w14:val="none"/>
        </w:rPr>
        <w:t>, N. (Editor) (2008)</w:t>
      </w:r>
      <w:r w:rsidR="008709AB" w:rsidRPr="009A06B8">
        <w:rPr>
          <w:rFonts w:ascii="Calibri" w:hAnsi="Calibri" w:cs="Calibri"/>
          <w:kern w:val="0"/>
          <w:sz w:val="24"/>
          <w:szCs w:val="24"/>
          <w:lang w:val="en-US"/>
          <w14:ligatures w14:val="none"/>
        </w:rPr>
        <w:t xml:space="preserve">. </w:t>
      </w:r>
      <w:r w:rsidRPr="00D44E2B">
        <w:rPr>
          <w:rFonts w:ascii="Calibri" w:hAnsi="Calibri" w:cs="Calibri"/>
          <w:i/>
          <w:iCs/>
          <w:kern w:val="0"/>
          <w:sz w:val="24"/>
          <w:szCs w:val="24"/>
          <w14:ligatures w14:val="none"/>
        </w:rPr>
        <w:t>Directrices para la aplicación de las categorías de gestión de áreas protegidas</w:t>
      </w:r>
      <w:r w:rsidR="008709AB">
        <w:rPr>
          <w:rFonts w:ascii="Calibri" w:hAnsi="Calibri" w:cs="Calibri"/>
          <w:i/>
          <w:iCs/>
          <w:kern w:val="0"/>
          <w:sz w:val="24"/>
          <w:szCs w:val="24"/>
          <w14:ligatures w14:val="none"/>
        </w:rPr>
        <w:t>.</w:t>
      </w:r>
      <w:r w:rsidRPr="00D44E2B">
        <w:rPr>
          <w:rFonts w:ascii="Calibri" w:hAnsi="Calibri" w:cs="Calibri"/>
          <w:kern w:val="0"/>
          <w:sz w:val="24"/>
          <w:szCs w:val="24"/>
          <w14:ligatures w14:val="none"/>
        </w:rPr>
        <w:t xml:space="preserve"> </w:t>
      </w:r>
      <w:r w:rsidRPr="002F0393">
        <w:rPr>
          <w:rFonts w:ascii="Calibri" w:hAnsi="Calibri" w:cs="Calibri"/>
          <w:kern w:val="0"/>
          <w:sz w:val="24"/>
          <w:szCs w:val="24"/>
          <w:lang w:val="en-US"/>
          <w14:ligatures w14:val="none"/>
        </w:rPr>
        <w:t xml:space="preserve">Gland, Suiza: UICN. x + 96pp. </w:t>
      </w:r>
      <w:hyperlink r:id="rId25">
        <w:r w:rsidRPr="002F0393">
          <w:rPr>
            <w:rFonts w:ascii="Calibri" w:hAnsi="Calibri" w:cs="Calibri"/>
            <w:color w:val="467886" w:themeColor="hyperlink"/>
            <w:kern w:val="0"/>
            <w:sz w:val="24"/>
            <w:szCs w:val="24"/>
            <w:u w:val="single"/>
            <w:lang w:val="en-US"/>
            <w14:ligatures w14:val="none"/>
          </w:rPr>
          <w:t>https://portals.iucn.org/library/efiles/documents/paps-016-es.pdf</w:t>
        </w:r>
      </w:hyperlink>
    </w:p>
    <w:p w14:paraId="6ECA791D" w14:textId="6E260A03" w:rsidR="0049583F" w:rsidRPr="00D44E2B" w:rsidRDefault="0049583F" w:rsidP="003D0615">
      <w:pPr>
        <w:suppressAutoHyphens/>
        <w:spacing w:line="240" w:lineRule="auto"/>
        <w:ind w:left="709" w:hanging="709"/>
        <w:jc w:val="both"/>
        <w:rPr>
          <w:rFonts w:ascii="Calibri" w:hAnsi="Calibri" w:cs="Calibri"/>
          <w:color w:val="467886" w:themeColor="hyperlink"/>
          <w:kern w:val="0"/>
          <w:sz w:val="24"/>
          <w:szCs w:val="24"/>
          <w:u w:val="single"/>
          <w14:ligatures w14:val="none"/>
        </w:rPr>
      </w:pPr>
      <w:proofErr w:type="spellStart"/>
      <w:r w:rsidRPr="00D44E2B">
        <w:rPr>
          <w:rFonts w:ascii="Calibri" w:hAnsi="Calibri" w:cs="Calibri"/>
          <w:kern w:val="0"/>
          <w:sz w:val="24"/>
          <w:szCs w:val="24"/>
          <w14:ligatures w14:val="none"/>
        </w:rPr>
        <w:t>F</w:t>
      </w:r>
      <w:r w:rsidR="008709AB" w:rsidRPr="00D44E2B">
        <w:rPr>
          <w:rFonts w:ascii="Calibri" w:hAnsi="Calibri" w:cs="Calibri"/>
          <w:kern w:val="0"/>
          <w:sz w:val="24"/>
          <w:szCs w:val="24"/>
          <w14:ligatures w14:val="none"/>
        </w:rPr>
        <w:t>ernand</w:t>
      </w:r>
      <w:proofErr w:type="spellEnd"/>
      <w:r w:rsidRPr="00D44E2B">
        <w:rPr>
          <w:rFonts w:ascii="Calibri" w:hAnsi="Calibri" w:cs="Calibri"/>
          <w:kern w:val="0"/>
          <w:sz w:val="24"/>
          <w:szCs w:val="24"/>
          <w14:ligatures w14:val="none"/>
        </w:rPr>
        <w:t xml:space="preserve">, P., y </w:t>
      </w:r>
      <w:proofErr w:type="spellStart"/>
      <w:r w:rsidRPr="00D44E2B">
        <w:rPr>
          <w:rFonts w:ascii="Calibri" w:hAnsi="Calibri" w:cs="Calibri"/>
          <w:kern w:val="0"/>
          <w:sz w:val="24"/>
          <w:szCs w:val="24"/>
          <w14:ligatures w14:val="none"/>
        </w:rPr>
        <w:t>P</w:t>
      </w:r>
      <w:r w:rsidR="008709AB" w:rsidRPr="00D44E2B">
        <w:rPr>
          <w:rFonts w:ascii="Calibri" w:hAnsi="Calibri" w:cs="Calibri"/>
          <w:kern w:val="0"/>
          <w:sz w:val="24"/>
          <w:szCs w:val="24"/>
          <w14:ligatures w14:val="none"/>
        </w:rPr>
        <w:t>astás</w:t>
      </w:r>
      <w:proofErr w:type="spellEnd"/>
      <w:r w:rsidRPr="00D44E2B">
        <w:rPr>
          <w:rFonts w:ascii="Calibri" w:hAnsi="Calibri" w:cs="Calibri"/>
          <w:kern w:val="0"/>
          <w:sz w:val="24"/>
          <w:szCs w:val="24"/>
          <w14:ligatures w14:val="none"/>
        </w:rPr>
        <w:t>, E. (2019)</w:t>
      </w:r>
      <w:r w:rsidR="008709AB">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Determinantes de la demanda internacional de turismo en el ecuador: un análisis de panel</w:t>
      </w:r>
      <w:r w:rsidR="008709AB">
        <w:rPr>
          <w:rFonts w:ascii="Calibri" w:hAnsi="Calibri" w:cs="Calibri"/>
          <w:kern w:val="0"/>
          <w:sz w:val="24"/>
          <w:szCs w:val="24"/>
          <w14:ligatures w14:val="none"/>
        </w:rPr>
        <w:t>.</w:t>
      </w:r>
      <w:r w:rsidRPr="00D44E2B">
        <w:rPr>
          <w:rFonts w:ascii="Calibri" w:hAnsi="Calibri" w:cs="Calibri"/>
          <w:kern w:val="0"/>
          <w:sz w:val="24"/>
          <w:szCs w:val="24"/>
          <w14:ligatures w14:val="none"/>
        </w:rPr>
        <w:t xml:space="preserve"> </w:t>
      </w:r>
      <w:r w:rsidRPr="00D44E2B">
        <w:rPr>
          <w:rFonts w:ascii="Calibri" w:hAnsi="Calibri" w:cs="Calibri"/>
          <w:i/>
          <w:iCs/>
          <w:kern w:val="0"/>
          <w:sz w:val="24"/>
          <w:szCs w:val="24"/>
          <w14:ligatures w14:val="none"/>
        </w:rPr>
        <w:t xml:space="preserve">Revista Turismo y Desarrollo </w:t>
      </w:r>
      <w:r w:rsidR="00C60280" w:rsidRPr="00D44E2B">
        <w:rPr>
          <w:rFonts w:ascii="Calibri" w:hAnsi="Calibri" w:cs="Calibri"/>
          <w:i/>
          <w:iCs/>
          <w:kern w:val="0"/>
          <w:sz w:val="24"/>
          <w:szCs w:val="24"/>
          <w14:ligatures w14:val="none"/>
        </w:rPr>
        <w:t>local Sostenible</w:t>
      </w:r>
      <w:r w:rsidRPr="00D44E2B">
        <w:rPr>
          <w:rFonts w:ascii="Calibri" w:hAnsi="Calibri" w:cs="Calibri"/>
          <w:kern w:val="0"/>
          <w:sz w:val="24"/>
          <w:szCs w:val="24"/>
          <w14:ligatures w14:val="none"/>
        </w:rPr>
        <w:t xml:space="preserve">, 12,1-22. </w:t>
      </w:r>
      <w:hyperlink r:id="rId26">
        <w:r w:rsidRPr="00D44E2B">
          <w:rPr>
            <w:rFonts w:ascii="Calibri" w:hAnsi="Calibri" w:cs="Calibri"/>
            <w:color w:val="467886" w:themeColor="hyperlink"/>
            <w:kern w:val="0"/>
            <w:sz w:val="24"/>
            <w:szCs w:val="24"/>
            <w:u w:val="single"/>
            <w14:ligatures w14:val="none"/>
          </w:rPr>
          <w:t>https://www.eumed.net/rev/turydes/26/turismo-ecuador.html</w:t>
        </w:r>
      </w:hyperlink>
    </w:p>
    <w:p w14:paraId="3FBAC11A" w14:textId="58A9DD7E" w:rsidR="0049583F" w:rsidRPr="00D44E2B" w:rsidRDefault="0049583F" w:rsidP="003D0615">
      <w:pPr>
        <w:suppressAutoHyphens/>
        <w:spacing w:line="240" w:lineRule="auto"/>
        <w:ind w:left="709" w:hanging="709"/>
        <w:jc w:val="both"/>
        <w:rPr>
          <w:rFonts w:ascii="Calibri" w:hAnsi="Calibri" w:cs="Calibri"/>
          <w:kern w:val="0"/>
          <w:sz w:val="24"/>
          <w:szCs w:val="24"/>
          <w14:ligatures w14:val="none"/>
        </w:rPr>
      </w:pPr>
      <w:r w:rsidRPr="00D44E2B">
        <w:rPr>
          <w:rFonts w:ascii="Calibri" w:hAnsi="Calibri" w:cs="Calibri"/>
          <w:kern w:val="0"/>
          <w:sz w:val="24"/>
          <w:szCs w:val="24"/>
          <w14:ligatures w14:val="none"/>
        </w:rPr>
        <w:t>G</w:t>
      </w:r>
      <w:r w:rsidR="00232A3F" w:rsidRPr="00D44E2B">
        <w:rPr>
          <w:rFonts w:ascii="Calibri" w:hAnsi="Calibri" w:cs="Calibri"/>
          <w:kern w:val="0"/>
          <w:sz w:val="24"/>
          <w:szCs w:val="24"/>
          <w14:ligatures w14:val="none"/>
        </w:rPr>
        <w:t>arcía</w:t>
      </w:r>
      <w:r w:rsidRPr="00D44E2B">
        <w:rPr>
          <w:rFonts w:ascii="Calibri" w:hAnsi="Calibri" w:cs="Calibri"/>
          <w:kern w:val="0"/>
          <w:sz w:val="24"/>
          <w:szCs w:val="24"/>
          <w14:ligatures w14:val="none"/>
        </w:rPr>
        <w:t>, B., C</w:t>
      </w:r>
      <w:r w:rsidR="00232A3F" w:rsidRPr="00D44E2B">
        <w:rPr>
          <w:rFonts w:ascii="Calibri" w:hAnsi="Calibri" w:cs="Calibri"/>
          <w:kern w:val="0"/>
          <w:sz w:val="24"/>
          <w:szCs w:val="24"/>
          <w14:ligatures w14:val="none"/>
        </w:rPr>
        <w:t>arranco</w:t>
      </w:r>
      <w:r w:rsidRPr="00D44E2B">
        <w:rPr>
          <w:rFonts w:ascii="Calibri" w:hAnsi="Calibri" w:cs="Calibri"/>
          <w:kern w:val="0"/>
          <w:sz w:val="24"/>
          <w:szCs w:val="24"/>
          <w14:ligatures w14:val="none"/>
        </w:rPr>
        <w:t>, Z. y M</w:t>
      </w:r>
      <w:r w:rsidR="00232A3F" w:rsidRPr="00D44E2B">
        <w:rPr>
          <w:rFonts w:ascii="Calibri" w:hAnsi="Calibri" w:cs="Calibri"/>
          <w:kern w:val="0"/>
          <w:sz w:val="24"/>
          <w:szCs w:val="24"/>
          <w14:ligatures w14:val="none"/>
        </w:rPr>
        <w:t>artínez</w:t>
      </w:r>
      <w:r w:rsidRPr="00D44E2B">
        <w:rPr>
          <w:rFonts w:ascii="Calibri" w:hAnsi="Calibri" w:cs="Calibri"/>
          <w:kern w:val="0"/>
          <w:sz w:val="24"/>
          <w:szCs w:val="24"/>
          <w14:ligatures w14:val="none"/>
        </w:rPr>
        <w:t>, E. (2009)</w:t>
      </w:r>
      <w:r w:rsidR="00232A3F">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El sector turístico mexicano frente a la crisis internacional</w:t>
      </w:r>
      <w:r w:rsidR="00232A3F">
        <w:rPr>
          <w:rFonts w:ascii="Calibri" w:hAnsi="Calibri" w:cs="Calibri"/>
          <w:kern w:val="0"/>
          <w:sz w:val="24"/>
          <w:szCs w:val="24"/>
          <w14:ligatures w14:val="none"/>
        </w:rPr>
        <w:t>.</w:t>
      </w:r>
      <w:r w:rsidRPr="00D44E2B">
        <w:rPr>
          <w:rFonts w:ascii="Calibri" w:hAnsi="Calibri" w:cs="Calibri"/>
          <w:kern w:val="0"/>
          <w:sz w:val="24"/>
          <w:szCs w:val="24"/>
          <w14:ligatures w14:val="none"/>
        </w:rPr>
        <w:t xml:space="preserve"> </w:t>
      </w:r>
      <w:r w:rsidRPr="00D44E2B">
        <w:rPr>
          <w:rFonts w:ascii="Calibri" w:hAnsi="Calibri" w:cs="Calibri"/>
          <w:i/>
          <w:iCs/>
          <w:kern w:val="0"/>
          <w:sz w:val="24"/>
          <w:szCs w:val="24"/>
          <w14:ligatures w14:val="none"/>
        </w:rPr>
        <w:t>Revista El cotidiano</w:t>
      </w:r>
      <w:r w:rsidRPr="00D44E2B">
        <w:rPr>
          <w:rFonts w:ascii="Calibri" w:hAnsi="Calibri" w:cs="Calibri"/>
          <w:kern w:val="0"/>
          <w:sz w:val="24"/>
          <w:szCs w:val="24"/>
          <w14:ligatures w14:val="none"/>
        </w:rPr>
        <w:t>, 24(157), 101-107.</w:t>
      </w:r>
      <w:r w:rsidR="00232A3F">
        <w:rPr>
          <w:rFonts w:ascii="Calibri" w:hAnsi="Calibri" w:cs="Calibri"/>
          <w:kern w:val="0"/>
          <w:sz w:val="24"/>
          <w:szCs w:val="24"/>
          <w14:ligatures w14:val="none"/>
        </w:rPr>
        <w:t xml:space="preserve"> </w:t>
      </w:r>
      <w:hyperlink r:id="rId27">
        <w:r w:rsidRPr="00D44E2B">
          <w:rPr>
            <w:rFonts w:ascii="Calibri" w:hAnsi="Calibri" w:cs="Calibri"/>
            <w:color w:val="467886" w:themeColor="hyperlink"/>
            <w:kern w:val="0"/>
            <w:sz w:val="24"/>
            <w:szCs w:val="24"/>
            <w:u w:val="single"/>
            <w14:ligatures w14:val="none"/>
          </w:rPr>
          <w:t>https://www.redalyc.org/articulo.oa?id=32512739012</w:t>
        </w:r>
      </w:hyperlink>
    </w:p>
    <w:p w14:paraId="7A8ED550" w14:textId="5A69E1D8" w:rsidR="0049583F" w:rsidRPr="009A06B8" w:rsidRDefault="0049583F" w:rsidP="003D0615">
      <w:pPr>
        <w:suppressAutoHyphens/>
        <w:spacing w:line="240" w:lineRule="auto"/>
        <w:ind w:left="709" w:hanging="709"/>
        <w:jc w:val="both"/>
        <w:rPr>
          <w:rFonts w:ascii="Calibri" w:hAnsi="Calibri" w:cs="Calibri"/>
          <w:color w:val="0000FF"/>
          <w:kern w:val="0"/>
          <w:sz w:val="24"/>
          <w:szCs w:val="24"/>
          <w14:ligatures w14:val="none"/>
        </w:rPr>
      </w:pPr>
      <w:commentRangeStart w:id="3"/>
      <w:r w:rsidRPr="00D44E2B">
        <w:rPr>
          <w:rFonts w:ascii="Calibri" w:hAnsi="Calibri" w:cs="Calibri"/>
          <w:color w:val="000000"/>
          <w:kern w:val="0"/>
          <w:sz w:val="24"/>
          <w:szCs w:val="24"/>
          <w14:ligatures w14:val="none"/>
        </w:rPr>
        <w:t>G</w:t>
      </w:r>
      <w:r w:rsidR="00232A3F" w:rsidRPr="00D44E2B">
        <w:rPr>
          <w:rFonts w:ascii="Calibri" w:hAnsi="Calibri" w:cs="Calibri"/>
          <w:color w:val="000000"/>
          <w:kern w:val="0"/>
          <w:sz w:val="24"/>
          <w:szCs w:val="24"/>
          <w14:ligatures w14:val="none"/>
        </w:rPr>
        <w:t>ómez</w:t>
      </w:r>
      <w:r w:rsidRPr="00D44E2B">
        <w:rPr>
          <w:rFonts w:ascii="Calibri" w:hAnsi="Calibri" w:cs="Calibri"/>
          <w:color w:val="000000"/>
          <w:kern w:val="0"/>
          <w:sz w:val="24"/>
          <w:szCs w:val="24"/>
          <w14:ligatures w14:val="none"/>
        </w:rPr>
        <w:t xml:space="preserve"> N</w:t>
      </w:r>
      <w:r w:rsidR="00232A3F" w:rsidRPr="00D44E2B">
        <w:rPr>
          <w:rFonts w:ascii="Calibri" w:hAnsi="Calibri" w:cs="Calibri"/>
          <w:color w:val="000000"/>
          <w:kern w:val="0"/>
          <w:sz w:val="24"/>
          <w:szCs w:val="24"/>
          <w14:ligatures w14:val="none"/>
        </w:rPr>
        <w:t>ieves</w:t>
      </w:r>
      <w:r w:rsidRPr="00D44E2B">
        <w:rPr>
          <w:rFonts w:ascii="Calibri" w:hAnsi="Calibri" w:cs="Calibri"/>
          <w:color w:val="000000"/>
          <w:kern w:val="0"/>
          <w:sz w:val="24"/>
          <w:szCs w:val="24"/>
          <w14:ligatures w14:val="none"/>
        </w:rPr>
        <w:t>, S. y R</w:t>
      </w:r>
      <w:r w:rsidR="00232A3F" w:rsidRPr="00D44E2B">
        <w:rPr>
          <w:rFonts w:ascii="Calibri" w:hAnsi="Calibri" w:cs="Calibri"/>
          <w:color w:val="000000"/>
          <w:kern w:val="0"/>
          <w:sz w:val="24"/>
          <w:szCs w:val="24"/>
          <w14:ligatures w14:val="none"/>
        </w:rPr>
        <w:t>odríguez</w:t>
      </w:r>
      <w:r w:rsidRPr="00D44E2B">
        <w:rPr>
          <w:rFonts w:ascii="Calibri" w:hAnsi="Calibri" w:cs="Calibri"/>
          <w:color w:val="000000"/>
          <w:kern w:val="0"/>
          <w:sz w:val="24"/>
          <w:szCs w:val="24"/>
          <w14:ligatures w14:val="none"/>
        </w:rPr>
        <w:t xml:space="preserve"> B</w:t>
      </w:r>
      <w:r w:rsidR="00232A3F" w:rsidRPr="00D44E2B">
        <w:rPr>
          <w:rFonts w:ascii="Calibri" w:hAnsi="Calibri" w:cs="Calibri"/>
          <w:color w:val="000000"/>
          <w:kern w:val="0"/>
          <w:sz w:val="24"/>
          <w:szCs w:val="24"/>
          <w14:ligatures w14:val="none"/>
        </w:rPr>
        <w:t>ocanegra</w:t>
      </w:r>
      <w:r w:rsidRPr="00D44E2B">
        <w:rPr>
          <w:rFonts w:ascii="Calibri" w:hAnsi="Calibri" w:cs="Calibri"/>
          <w:color w:val="000000"/>
          <w:kern w:val="0"/>
          <w:sz w:val="24"/>
          <w:szCs w:val="24"/>
          <w14:ligatures w14:val="none"/>
        </w:rPr>
        <w:t>, K. M. (2018)</w:t>
      </w:r>
      <w:r w:rsidR="00232A3F">
        <w:rPr>
          <w:rFonts w:ascii="Calibri" w:hAnsi="Calibri" w:cs="Calibri"/>
          <w:color w:val="000000"/>
          <w:kern w:val="0"/>
          <w:sz w:val="24"/>
          <w:szCs w:val="24"/>
          <w14:ligatures w14:val="none"/>
        </w:rPr>
        <w:t xml:space="preserve">. </w:t>
      </w:r>
      <w:r w:rsidRPr="00D44E2B">
        <w:rPr>
          <w:rFonts w:ascii="Calibri" w:hAnsi="Calibri" w:cs="Calibri"/>
          <w:color w:val="000000"/>
          <w:kern w:val="0"/>
          <w:sz w:val="24"/>
          <w:szCs w:val="24"/>
          <w14:ligatures w14:val="none"/>
        </w:rPr>
        <w:t>Problemas y desafíos para la determinación de la demanda turística en México</w:t>
      </w:r>
      <w:r w:rsidR="00232A3F">
        <w:rPr>
          <w:rFonts w:ascii="Calibri" w:hAnsi="Calibri" w:cs="Calibri"/>
          <w:color w:val="000000"/>
          <w:kern w:val="0"/>
          <w:sz w:val="24"/>
          <w:szCs w:val="24"/>
          <w14:ligatures w14:val="none"/>
        </w:rPr>
        <w:t>.</w:t>
      </w:r>
      <w:r w:rsidRPr="00D44E2B">
        <w:rPr>
          <w:rFonts w:ascii="Calibri" w:hAnsi="Calibri" w:cs="Calibri"/>
          <w:color w:val="000000"/>
          <w:kern w:val="0"/>
          <w:sz w:val="24"/>
          <w:szCs w:val="24"/>
          <w14:ligatures w14:val="none"/>
        </w:rPr>
        <w:t xml:space="preserve"> </w:t>
      </w:r>
      <w:r w:rsidRPr="009A06B8">
        <w:rPr>
          <w:rFonts w:ascii="Calibri" w:eastAsia="Calibri-Italic" w:hAnsi="Calibri" w:cs="Calibri"/>
          <w:i/>
          <w:iCs/>
          <w:color w:val="000000"/>
          <w:kern w:val="0"/>
          <w:sz w:val="24"/>
          <w:szCs w:val="24"/>
          <w14:ligatures w14:val="none"/>
        </w:rPr>
        <w:t xml:space="preserve">Investigaciones Turísticas </w:t>
      </w:r>
      <w:r w:rsidRPr="009A06B8">
        <w:rPr>
          <w:rFonts w:ascii="Calibri" w:hAnsi="Calibri" w:cs="Calibri"/>
          <w:color w:val="000000"/>
          <w:kern w:val="0"/>
          <w:sz w:val="24"/>
          <w:szCs w:val="24"/>
          <w14:ligatures w14:val="none"/>
        </w:rPr>
        <w:t xml:space="preserve">(16), pp. 87-107. </w:t>
      </w:r>
      <w:hyperlink r:id="rId28">
        <w:r w:rsidRPr="009A06B8">
          <w:rPr>
            <w:rFonts w:ascii="Calibri" w:hAnsi="Calibri" w:cs="Calibri"/>
            <w:color w:val="467886" w:themeColor="hyperlink"/>
            <w:kern w:val="0"/>
            <w:sz w:val="24"/>
            <w:szCs w:val="24"/>
            <w:u w:val="single"/>
            <w14:ligatures w14:val="none"/>
          </w:rPr>
          <w:t>http://dx.doi.org/10.14198/INTURI2018.16.05</w:t>
        </w:r>
      </w:hyperlink>
    </w:p>
    <w:p w14:paraId="549A5A38" w14:textId="6F09C246" w:rsidR="0049583F" w:rsidRPr="00FC5A2D" w:rsidRDefault="0049583F" w:rsidP="003D0615">
      <w:pPr>
        <w:suppressAutoHyphens/>
        <w:spacing w:line="240" w:lineRule="auto"/>
        <w:ind w:left="709" w:hanging="709"/>
        <w:jc w:val="both"/>
        <w:rPr>
          <w:lang w:val="es-CR"/>
        </w:rPr>
      </w:pPr>
      <w:proofErr w:type="spellStart"/>
      <w:r w:rsidRPr="00232A3F">
        <w:rPr>
          <w:rFonts w:ascii="Calibri" w:hAnsi="Calibri" w:cs="Calibri"/>
          <w:kern w:val="0"/>
          <w:sz w:val="24"/>
          <w:szCs w:val="24"/>
          <w14:ligatures w14:val="none"/>
        </w:rPr>
        <w:t>H</w:t>
      </w:r>
      <w:r w:rsidR="00232A3F" w:rsidRPr="00232A3F">
        <w:rPr>
          <w:rFonts w:ascii="Calibri" w:hAnsi="Calibri" w:cs="Calibri"/>
          <w:kern w:val="0"/>
          <w:sz w:val="24"/>
          <w:szCs w:val="24"/>
          <w14:ligatures w14:val="none"/>
        </w:rPr>
        <w:t>anafiah</w:t>
      </w:r>
      <w:proofErr w:type="spellEnd"/>
      <w:r w:rsidRPr="00232A3F">
        <w:rPr>
          <w:rFonts w:ascii="Calibri" w:hAnsi="Calibri" w:cs="Calibri"/>
          <w:kern w:val="0"/>
          <w:sz w:val="24"/>
          <w:szCs w:val="24"/>
          <w14:ligatures w14:val="none"/>
        </w:rPr>
        <w:t xml:space="preserve">, M. H. y </w:t>
      </w:r>
      <w:proofErr w:type="spellStart"/>
      <w:r w:rsidRPr="00232A3F">
        <w:rPr>
          <w:rFonts w:ascii="Calibri" w:hAnsi="Calibri" w:cs="Calibri"/>
          <w:kern w:val="0"/>
          <w:sz w:val="24"/>
          <w:szCs w:val="24"/>
          <w14:ligatures w14:val="none"/>
        </w:rPr>
        <w:t>H</w:t>
      </w:r>
      <w:r w:rsidR="00232A3F" w:rsidRPr="00232A3F">
        <w:rPr>
          <w:rFonts w:ascii="Calibri" w:hAnsi="Calibri" w:cs="Calibri"/>
          <w:kern w:val="0"/>
          <w:sz w:val="24"/>
          <w:szCs w:val="24"/>
          <w14:ligatures w14:val="none"/>
        </w:rPr>
        <w:t>arun</w:t>
      </w:r>
      <w:proofErr w:type="spellEnd"/>
      <w:r w:rsidRPr="00232A3F">
        <w:rPr>
          <w:rFonts w:ascii="Calibri" w:hAnsi="Calibri" w:cs="Calibri"/>
          <w:kern w:val="0"/>
          <w:sz w:val="24"/>
          <w:szCs w:val="24"/>
          <w14:ligatures w14:val="none"/>
        </w:rPr>
        <w:t>, M.F. M. (2010)</w:t>
      </w:r>
      <w:r w:rsidR="00232A3F" w:rsidRPr="00232A3F">
        <w:rPr>
          <w:rFonts w:ascii="Calibri" w:hAnsi="Calibri" w:cs="Calibri"/>
          <w:kern w:val="0"/>
          <w:sz w:val="24"/>
          <w:szCs w:val="24"/>
          <w14:ligatures w14:val="none"/>
        </w:rPr>
        <w:t xml:space="preserve">. </w:t>
      </w:r>
      <w:r w:rsidRPr="00D44E2B">
        <w:rPr>
          <w:rFonts w:ascii="Calibri" w:hAnsi="Calibri" w:cs="Calibri"/>
          <w:kern w:val="0"/>
          <w:sz w:val="24"/>
          <w:szCs w:val="24"/>
          <w:lang w:val="en-US"/>
          <w14:ligatures w14:val="none"/>
        </w:rPr>
        <w:t>Tourism Demand in Malaysia: A cross-sectional pool time-series analysis</w:t>
      </w:r>
      <w:r w:rsidR="00232A3F">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r w:rsidRPr="00D44E2B">
        <w:rPr>
          <w:rFonts w:ascii="Calibri" w:hAnsi="Calibri" w:cs="Calibri"/>
          <w:i/>
          <w:iCs/>
          <w:kern w:val="0"/>
          <w:sz w:val="24"/>
          <w:szCs w:val="24"/>
          <w:lang w:val="en-US"/>
          <w14:ligatures w14:val="none"/>
        </w:rPr>
        <w:t>International Journal of Trade, Economics and Finance</w:t>
      </w:r>
      <w:r w:rsidRPr="00D44E2B">
        <w:rPr>
          <w:rFonts w:ascii="Calibri" w:hAnsi="Calibri" w:cs="Calibri"/>
          <w:kern w:val="0"/>
          <w:sz w:val="24"/>
          <w:szCs w:val="24"/>
          <w:lang w:val="en-US"/>
          <w14:ligatures w14:val="none"/>
        </w:rPr>
        <w:t>, 1(2), 200-203.</w:t>
      </w:r>
      <w:r w:rsidR="00232A3F">
        <w:rPr>
          <w:rFonts w:ascii="Calibri" w:hAnsi="Calibri" w:cs="Calibri"/>
          <w:kern w:val="0"/>
          <w:sz w:val="24"/>
          <w:szCs w:val="24"/>
          <w:lang w:val="en-US"/>
          <w14:ligatures w14:val="none"/>
        </w:rPr>
        <w:t xml:space="preserve"> </w:t>
      </w:r>
      <w:hyperlink r:id="rId29">
        <w:r w:rsidRPr="00FC5A2D">
          <w:rPr>
            <w:rFonts w:ascii="Calibri" w:hAnsi="Calibri" w:cs="Calibri"/>
            <w:color w:val="467886" w:themeColor="hyperlink"/>
            <w:kern w:val="0"/>
            <w:sz w:val="24"/>
            <w:szCs w:val="24"/>
            <w:u w:val="single"/>
            <w:lang w:val="es-CR"/>
            <w14:ligatures w14:val="none"/>
          </w:rPr>
          <w:t>https://doi.org/10.7763/ijtef.2010.v1.36</w:t>
        </w:r>
      </w:hyperlink>
    </w:p>
    <w:p w14:paraId="14F1E02A" w14:textId="67FD3150" w:rsidR="00FC5A2D" w:rsidRDefault="00FC5A2D" w:rsidP="003D0615">
      <w:pPr>
        <w:suppressAutoHyphens/>
        <w:spacing w:line="240" w:lineRule="auto"/>
        <w:ind w:left="709" w:hanging="709"/>
        <w:jc w:val="both"/>
      </w:pPr>
      <w:r w:rsidRPr="00FC4E54">
        <w:rPr>
          <w:rFonts w:ascii="Calibri" w:hAnsi="Calibri" w:cs="Calibri"/>
          <w:color w:val="000000" w:themeColor="text1"/>
          <w:kern w:val="0"/>
          <w:sz w:val="24"/>
          <w:szCs w:val="24"/>
          <w:lang w:val="es-ES"/>
          <w14:ligatures w14:val="none"/>
        </w:rPr>
        <w:t>INEGI. (2021</w:t>
      </w:r>
      <w:r>
        <w:rPr>
          <w:rFonts w:ascii="Calibri" w:hAnsi="Calibri" w:cs="Calibri"/>
          <w:color w:val="000000" w:themeColor="text1"/>
          <w:kern w:val="0"/>
          <w:sz w:val="24"/>
          <w:szCs w:val="24"/>
          <w:lang w:val="es-ES"/>
          <w14:ligatures w14:val="none"/>
        </w:rPr>
        <w:t>a</w:t>
      </w:r>
      <w:r w:rsidRPr="00FC4E54">
        <w:rPr>
          <w:rFonts w:ascii="Calibri" w:hAnsi="Calibri" w:cs="Calibri"/>
          <w:color w:val="000000" w:themeColor="text1"/>
          <w:kern w:val="0"/>
          <w:sz w:val="24"/>
          <w:szCs w:val="24"/>
          <w:lang w:val="es-ES"/>
          <w14:ligatures w14:val="none"/>
        </w:rPr>
        <w:t xml:space="preserve">). Confianza del Consumidor. Disponible en: </w:t>
      </w:r>
      <w:hyperlink r:id="rId30" w:history="1">
        <w:r w:rsidRPr="00FC4E54">
          <w:rPr>
            <w:rStyle w:val="Hipervnculo"/>
            <w:rFonts w:ascii="Calibri" w:hAnsi="Calibri" w:cs="Calibri"/>
            <w:kern w:val="0"/>
            <w:sz w:val="24"/>
            <w:szCs w:val="24"/>
            <w:lang w:val="es-ES"/>
            <w14:ligatures w14:val="none"/>
          </w:rPr>
          <w:t>https://www.inegi.org.mx/temas/confianza/</w:t>
        </w:r>
      </w:hyperlink>
    </w:p>
    <w:p w14:paraId="6195E8A6" w14:textId="6C7D3FCD" w:rsidR="000A1FC9" w:rsidRPr="00FC4E54" w:rsidRDefault="000A1FC9" w:rsidP="003D0615">
      <w:pPr>
        <w:suppressAutoHyphens/>
        <w:spacing w:line="240" w:lineRule="auto"/>
        <w:ind w:left="709" w:hanging="709"/>
        <w:jc w:val="both"/>
        <w:rPr>
          <w:rFonts w:ascii="Calibri" w:hAnsi="Calibri" w:cs="Calibri"/>
          <w:color w:val="000000" w:themeColor="text1"/>
          <w:kern w:val="0"/>
          <w:sz w:val="24"/>
          <w:szCs w:val="24"/>
          <w:lang w:val="es-ES"/>
          <w14:ligatures w14:val="none"/>
        </w:rPr>
      </w:pPr>
      <w:r w:rsidRPr="00FC4E54">
        <w:rPr>
          <w:rFonts w:ascii="Calibri" w:hAnsi="Calibri" w:cs="Calibri"/>
          <w:color w:val="000000" w:themeColor="text1"/>
          <w:kern w:val="0"/>
          <w:sz w:val="24"/>
          <w:szCs w:val="24"/>
          <w:lang w:val="es-ES"/>
          <w14:ligatures w14:val="none"/>
        </w:rPr>
        <w:lastRenderedPageBreak/>
        <w:t>INEGI. (2021</w:t>
      </w:r>
      <w:r w:rsidR="00B766FC">
        <w:rPr>
          <w:rFonts w:ascii="Calibri" w:hAnsi="Calibri" w:cs="Calibri"/>
          <w:color w:val="000000" w:themeColor="text1"/>
          <w:kern w:val="0"/>
          <w:sz w:val="24"/>
          <w:szCs w:val="24"/>
          <w:lang w:val="es-ES"/>
          <w14:ligatures w14:val="none"/>
        </w:rPr>
        <w:t>b</w:t>
      </w:r>
      <w:r w:rsidRPr="00FC4E54">
        <w:rPr>
          <w:rFonts w:ascii="Calibri" w:hAnsi="Calibri" w:cs="Calibri"/>
          <w:color w:val="000000" w:themeColor="text1"/>
          <w:kern w:val="0"/>
          <w:sz w:val="24"/>
          <w:szCs w:val="24"/>
          <w:lang w:val="es-ES"/>
          <w14:ligatures w14:val="none"/>
        </w:rPr>
        <w:t xml:space="preserve">). Indicadores de la actividad turística. Disponible en: </w:t>
      </w:r>
      <w:hyperlink r:id="rId31" w:history="1">
        <w:r w:rsidRPr="00FC4E54">
          <w:rPr>
            <w:rStyle w:val="Hipervnculo"/>
            <w:rFonts w:ascii="Calibri" w:hAnsi="Calibri" w:cs="Calibri"/>
            <w:kern w:val="0"/>
            <w:sz w:val="24"/>
            <w:szCs w:val="24"/>
            <w:lang w:val="es-ES"/>
            <w14:ligatures w14:val="none"/>
          </w:rPr>
          <w:t>https://www.inegi.org.mx/temas/itat/</w:t>
        </w:r>
      </w:hyperlink>
    </w:p>
    <w:p w14:paraId="4F0B07B0" w14:textId="664ACB07" w:rsidR="000A1FC9" w:rsidRPr="00FC4E54" w:rsidRDefault="000A1FC9" w:rsidP="003D0615">
      <w:pPr>
        <w:suppressAutoHyphens/>
        <w:spacing w:line="240" w:lineRule="auto"/>
        <w:ind w:left="709" w:hanging="709"/>
        <w:jc w:val="both"/>
        <w:rPr>
          <w:rFonts w:ascii="Calibri" w:hAnsi="Calibri" w:cs="Calibri"/>
          <w:color w:val="000000" w:themeColor="text1"/>
          <w:kern w:val="0"/>
          <w:sz w:val="24"/>
          <w:szCs w:val="24"/>
          <w:lang w:val="es-ES"/>
          <w14:ligatures w14:val="none"/>
        </w:rPr>
      </w:pPr>
      <w:r w:rsidRPr="00FC4E54">
        <w:rPr>
          <w:rFonts w:ascii="Calibri" w:hAnsi="Calibri" w:cs="Calibri"/>
          <w:color w:val="000000" w:themeColor="text1"/>
          <w:kern w:val="0"/>
          <w:sz w:val="24"/>
          <w:szCs w:val="24"/>
          <w:lang w:val="es-ES"/>
          <w14:ligatures w14:val="none"/>
        </w:rPr>
        <w:t>INEGI. (2021</w:t>
      </w:r>
      <w:r w:rsidR="00B766FC">
        <w:rPr>
          <w:rFonts w:ascii="Calibri" w:hAnsi="Calibri" w:cs="Calibri"/>
          <w:color w:val="000000" w:themeColor="text1"/>
          <w:kern w:val="0"/>
          <w:sz w:val="24"/>
          <w:szCs w:val="24"/>
          <w:lang w:val="es-ES"/>
          <w14:ligatures w14:val="none"/>
        </w:rPr>
        <w:t>c</w:t>
      </w:r>
      <w:r w:rsidRPr="00FC4E54">
        <w:rPr>
          <w:rFonts w:ascii="Calibri" w:hAnsi="Calibri" w:cs="Calibri"/>
          <w:color w:val="000000" w:themeColor="text1"/>
          <w:kern w:val="0"/>
          <w:sz w:val="24"/>
          <w:szCs w:val="24"/>
          <w:lang w:val="es-ES"/>
          <w14:ligatures w14:val="none"/>
        </w:rPr>
        <w:t xml:space="preserve">). Índice Nacional de Precios al Consumidor. Disponible en: </w:t>
      </w:r>
      <w:hyperlink r:id="rId32" w:history="1">
        <w:r w:rsidRPr="00FC4E54">
          <w:rPr>
            <w:rStyle w:val="Hipervnculo"/>
            <w:rFonts w:ascii="Calibri" w:hAnsi="Calibri" w:cs="Calibri"/>
            <w:kern w:val="0"/>
            <w:sz w:val="24"/>
            <w:szCs w:val="24"/>
            <w:lang w:val="es-ES"/>
            <w14:ligatures w14:val="none"/>
          </w:rPr>
          <w:t>https://www.inegi.org.mx/temas/inpc/</w:t>
        </w:r>
      </w:hyperlink>
    </w:p>
    <w:p w14:paraId="7532CD8A" w14:textId="563CE8F0" w:rsidR="000A1FC9" w:rsidRPr="00FC4E54" w:rsidRDefault="000A1FC9" w:rsidP="003D0615">
      <w:pPr>
        <w:suppressAutoHyphens/>
        <w:spacing w:line="240" w:lineRule="auto"/>
        <w:ind w:left="709" w:hanging="709"/>
        <w:jc w:val="both"/>
        <w:rPr>
          <w:rFonts w:ascii="Calibri" w:hAnsi="Calibri" w:cs="Calibri"/>
          <w:color w:val="000000" w:themeColor="text1"/>
          <w:kern w:val="0"/>
          <w:sz w:val="24"/>
          <w:szCs w:val="24"/>
          <w:lang w:val="es-ES"/>
          <w14:ligatures w14:val="none"/>
        </w:rPr>
      </w:pPr>
      <w:r w:rsidRPr="00FC4E54">
        <w:rPr>
          <w:rFonts w:ascii="Calibri" w:hAnsi="Calibri" w:cs="Calibri"/>
          <w:color w:val="000000" w:themeColor="text1"/>
          <w:kern w:val="0"/>
          <w:sz w:val="24"/>
          <w:szCs w:val="24"/>
          <w:lang w:val="es-ES"/>
          <w14:ligatures w14:val="none"/>
        </w:rPr>
        <w:t xml:space="preserve">INEGI. (2022). Encuesta Nacional de Ingresos y Gastos de los Hogares. Disponible en: </w:t>
      </w:r>
      <w:hyperlink r:id="rId33" w:history="1">
        <w:r w:rsidRPr="00FC4E54">
          <w:rPr>
            <w:rStyle w:val="Hipervnculo"/>
            <w:rFonts w:ascii="Calibri" w:hAnsi="Calibri" w:cs="Calibri"/>
            <w:kern w:val="0"/>
            <w:sz w:val="24"/>
            <w:szCs w:val="24"/>
            <w:lang w:val="es-ES"/>
            <w14:ligatures w14:val="none"/>
          </w:rPr>
          <w:t>https://www.inegi.org.mx/programas/enigh/nc/2022/</w:t>
        </w:r>
      </w:hyperlink>
    </w:p>
    <w:p w14:paraId="4083EF6F" w14:textId="646EEAF8" w:rsidR="0049583F" w:rsidRPr="009A06B8" w:rsidRDefault="0049583F" w:rsidP="003D0615">
      <w:pPr>
        <w:suppressAutoHyphens/>
        <w:spacing w:line="240" w:lineRule="auto"/>
        <w:ind w:left="709" w:hanging="709"/>
        <w:jc w:val="both"/>
        <w:rPr>
          <w:rFonts w:ascii="Calibri" w:hAnsi="Calibri" w:cs="Calibri"/>
          <w:kern w:val="0"/>
          <w:sz w:val="24"/>
          <w:szCs w:val="24"/>
          <w14:ligatures w14:val="none"/>
        </w:rPr>
      </w:pPr>
      <w:r w:rsidRPr="00D44E2B">
        <w:rPr>
          <w:rFonts w:ascii="Calibri" w:hAnsi="Calibri" w:cs="Calibri"/>
          <w:kern w:val="0"/>
          <w:sz w:val="24"/>
          <w:szCs w:val="24"/>
          <w14:ligatures w14:val="none"/>
        </w:rPr>
        <w:t>J</w:t>
      </w:r>
      <w:r w:rsidR="00B96193" w:rsidRPr="00D44E2B">
        <w:rPr>
          <w:rFonts w:ascii="Calibri" w:hAnsi="Calibri" w:cs="Calibri"/>
          <w:kern w:val="0"/>
          <w:sz w:val="24"/>
          <w:szCs w:val="24"/>
          <w14:ligatures w14:val="none"/>
        </w:rPr>
        <w:t>iménez</w:t>
      </w:r>
      <w:r w:rsidRPr="00D44E2B">
        <w:rPr>
          <w:rFonts w:ascii="Calibri" w:hAnsi="Calibri" w:cs="Calibri"/>
          <w:kern w:val="0"/>
          <w:sz w:val="24"/>
          <w:szCs w:val="24"/>
          <w14:ligatures w14:val="none"/>
        </w:rPr>
        <w:t xml:space="preserve"> G</w:t>
      </w:r>
      <w:r w:rsidR="00B96193" w:rsidRPr="00D44E2B">
        <w:rPr>
          <w:rFonts w:ascii="Calibri" w:hAnsi="Calibri" w:cs="Calibri"/>
          <w:kern w:val="0"/>
          <w:sz w:val="24"/>
          <w:szCs w:val="24"/>
          <w14:ligatures w14:val="none"/>
        </w:rPr>
        <w:t>arcía</w:t>
      </w:r>
      <w:r w:rsidRPr="00D44E2B">
        <w:rPr>
          <w:rFonts w:ascii="Calibri" w:hAnsi="Calibri" w:cs="Calibri"/>
          <w:kern w:val="0"/>
          <w:sz w:val="24"/>
          <w:szCs w:val="24"/>
          <w14:ligatures w14:val="none"/>
        </w:rPr>
        <w:t>, M., P</w:t>
      </w:r>
      <w:r w:rsidR="00B96193" w:rsidRPr="00D44E2B">
        <w:rPr>
          <w:rFonts w:ascii="Calibri" w:hAnsi="Calibri" w:cs="Calibri"/>
          <w:kern w:val="0"/>
          <w:sz w:val="24"/>
          <w:szCs w:val="24"/>
          <w14:ligatures w14:val="none"/>
        </w:rPr>
        <w:t>eña</w:t>
      </w:r>
      <w:r w:rsidRPr="00D44E2B">
        <w:rPr>
          <w:rFonts w:ascii="Calibri" w:hAnsi="Calibri" w:cs="Calibri"/>
          <w:kern w:val="0"/>
          <w:sz w:val="24"/>
          <w:szCs w:val="24"/>
          <w14:ligatures w14:val="none"/>
        </w:rPr>
        <w:t xml:space="preserve"> S</w:t>
      </w:r>
      <w:r w:rsidR="00B96193" w:rsidRPr="00D44E2B">
        <w:rPr>
          <w:rFonts w:ascii="Calibri" w:hAnsi="Calibri" w:cs="Calibri"/>
          <w:kern w:val="0"/>
          <w:sz w:val="24"/>
          <w:szCs w:val="24"/>
          <w14:ligatures w14:val="none"/>
        </w:rPr>
        <w:t>ánchez</w:t>
      </w:r>
      <w:r w:rsidRPr="00D44E2B">
        <w:rPr>
          <w:rFonts w:ascii="Calibri" w:hAnsi="Calibri" w:cs="Calibri"/>
          <w:kern w:val="0"/>
          <w:sz w:val="24"/>
          <w:szCs w:val="24"/>
          <w14:ligatures w14:val="none"/>
        </w:rPr>
        <w:t>, A. R. y R</w:t>
      </w:r>
      <w:r w:rsidR="00B96193" w:rsidRPr="00D44E2B">
        <w:rPr>
          <w:rFonts w:ascii="Calibri" w:hAnsi="Calibri" w:cs="Calibri"/>
          <w:kern w:val="0"/>
          <w:sz w:val="24"/>
          <w:szCs w:val="24"/>
          <w14:ligatures w14:val="none"/>
        </w:rPr>
        <w:t>uiz</w:t>
      </w:r>
      <w:r w:rsidRPr="00D44E2B">
        <w:rPr>
          <w:rFonts w:ascii="Calibri" w:hAnsi="Calibri" w:cs="Calibri"/>
          <w:kern w:val="0"/>
          <w:sz w:val="24"/>
          <w:szCs w:val="24"/>
          <w14:ligatures w14:val="none"/>
        </w:rPr>
        <w:t xml:space="preserve"> C</w:t>
      </w:r>
      <w:r w:rsidR="00B96193" w:rsidRPr="00D44E2B">
        <w:rPr>
          <w:rFonts w:ascii="Calibri" w:hAnsi="Calibri" w:cs="Calibri"/>
          <w:kern w:val="0"/>
          <w:sz w:val="24"/>
          <w:szCs w:val="24"/>
          <w14:ligatures w14:val="none"/>
        </w:rPr>
        <w:t>hico</w:t>
      </w:r>
      <w:r w:rsidRPr="00D44E2B">
        <w:rPr>
          <w:rFonts w:ascii="Calibri" w:hAnsi="Calibri" w:cs="Calibri"/>
          <w:kern w:val="0"/>
          <w:sz w:val="24"/>
          <w:szCs w:val="24"/>
          <w14:ligatures w14:val="none"/>
        </w:rPr>
        <w:t>, J. (2017)</w:t>
      </w:r>
      <w:r w:rsidR="00B96193">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La demanda turística internacional: Recuperación de la crisis y turismo de lujo, una primera aproximación al caso español</w:t>
      </w:r>
      <w:r w:rsidR="00B96193">
        <w:rPr>
          <w:rFonts w:ascii="Calibri" w:hAnsi="Calibri" w:cs="Calibri"/>
          <w:kern w:val="0"/>
          <w:sz w:val="24"/>
          <w:szCs w:val="24"/>
          <w14:ligatures w14:val="none"/>
        </w:rPr>
        <w:t>.</w:t>
      </w:r>
      <w:r w:rsidRPr="00D44E2B">
        <w:rPr>
          <w:rFonts w:ascii="Calibri" w:hAnsi="Calibri" w:cs="Calibri"/>
          <w:kern w:val="0"/>
          <w:sz w:val="24"/>
          <w:szCs w:val="24"/>
          <w14:ligatures w14:val="none"/>
        </w:rPr>
        <w:t xml:space="preserve"> </w:t>
      </w:r>
      <w:r w:rsidRPr="009A06B8">
        <w:rPr>
          <w:rFonts w:ascii="Calibri" w:hAnsi="Calibri" w:cs="Calibri"/>
          <w:i/>
          <w:iCs/>
          <w:kern w:val="0"/>
          <w:sz w:val="24"/>
          <w:szCs w:val="24"/>
          <w14:ligatures w14:val="none"/>
        </w:rPr>
        <w:t>Investigaciones Regionales</w:t>
      </w:r>
      <w:r w:rsidRPr="009A06B8">
        <w:rPr>
          <w:rFonts w:ascii="Calibri" w:hAnsi="Calibri" w:cs="Calibri"/>
          <w:kern w:val="0"/>
          <w:sz w:val="24"/>
          <w:szCs w:val="24"/>
          <w14:ligatures w14:val="none"/>
        </w:rPr>
        <w:t>, 2017(38), 47-66.</w:t>
      </w:r>
      <w:r w:rsidR="00B96193" w:rsidRPr="009A06B8">
        <w:rPr>
          <w:rFonts w:ascii="Calibri" w:hAnsi="Calibri" w:cs="Calibri"/>
          <w:kern w:val="0"/>
          <w:sz w:val="24"/>
          <w:szCs w:val="24"/>
          <w14:ligatures w14:val="none"/>
        </w:rPr>
        <w:t xml:space="preserve"> </w:t>
      </w:r>
      <w:hyperlink r:id="rId34">
        <w:r w:rsidRPr="009A06B8">
          <w:rPr>
            <w:rFonts w:ascii="Calibri" w:hAnsi="Calibri" w:cs="Calibri"/>
            <w:color w:val="467886" w:themeColor="hyperlink"/>
            <w:kern w:val="0"/>
            <w:sz w:val="24"/>
            <w:szCs w:val="24"/>
            <w:u w:val="single"/>
            <w14:ligatures w14:val="none"/>
          </w:rPr>
          <w:t>https://www.redalyc.org/articulo.oa?id=28966592003</w:t>
        </w:r>
      </w:hyperlink>
      <w:commentRangeEnd w:id="3"/>
      <w:r w:rsidR="00723E95">
        <w:rPr>
          <w:rStyle w:val="Refdecomentario"/>
          <w:kern w:val="0"/>
          <w14:ligatures w14:val="none"/>
        </w:rPr>
        <w:commentReference w:id="3"/>
      </w:r>
    </w:p>
    <w:p w14:paraId="20854E0B" w14:textId="5F9D08C9" w:rsidR="0049583F" w:rsidRPr="00D44E2B" w:rsidRDefault="0049583F" w:rsidP="003D0615">
      <w:pPr>
        <w:suppressAutoHyphens/>
        <w:spacing w:line="240" w:lineRule="auto"/>
        <w:ind w:left="709" w:hanging="709"/>
        <w:jc w:val="both"/>
        <w:rPr>
          <w:rFonts w:ascii="Calibri" w:eastAsia="Times New Roman" w:hAnsi="Calibri" w:cs="Calibri"/>
          <w:color w:val="006DB4"/>
          <w:kern w:val="0"/>
          <w:sz w:val="24"/>
          <w:szCs w:val="24"/>
          <w:u w:val="single"/>
          <w:lang w:val="en-US" w:eastAsia="es-MX"/>
          <w14:ligatures w14:val="none"/>
        </w:rPr>
      </w:pPr>
      <w:proofErr w:type="spellStart"/>
      <w:r w:rsidRPr="000A1FC9">
        <w:rPr>
          <w:rFonts w:ascii="Calibri" w:hAnsi="Calibri" w:cs="Calibri"/>
          <w:kern w:val="0"/>
          <w:sz w:val="24"/>
          <w:szCs w:val="24"/>
          <w14:ligatures w14:val="none"/>
        </w:rPr>
        <w:t>J</w:t>
      </w:r>
      <w:r w:rsidR="002015EC" w:rsidRPr="000A1FC9">
        <w:rPr>
          <w:rFonts w:ascii="Calibri" w:hAnsi="Calibri" w:cs="Calibri"/>
          <w:kern w:val="0"/>
          <w:sz w:val="24"/>
          <w:szCs w:val="24"/>
          <w14:ligatures w14:val="none"/>
        </w:rPr>
        <w:t>imura</w:t>
      </w:r>
      <w:proofErr w:type="spellEnd"/>
      <w:r w:rsidRPr="000A1FC9">
        <w:rPr>
          <w:rFonts w:ascii="Calibri" w:hAnsi="Calibri" w:cs="Calibri"/>
          <w:kern w:val="0"/>
          <w:sz w:val="24"/>
          <w:szCs w:val="24"/>
          <w14:ligatures w14:val="none"/>
        </w:rPr>
        <w:t>, T. (2007)</w:t>
      </w:r>
      <w:r w:rsidR="002015EC" w:rsidRPr="000A1FC9">
        <w:rPr>
          <w:rFonts w:ascii="Calibri" w:hAnsi="Calibri" w:cs="Calibri"/>
          <w:kern w:val="0"/>
          <w:sz w:val="24"/>
          <w:szCs w:val="24"/>
          <w14:ligatures w14:val="none"/>
        </w:rPr>
        <w:t xml:space="preserve">. </w:t>
      </w:r>
      <w:r w:rsidRPr="00D44E2B">
        <w:rPr>
          <w:rFonts w:ascii="Calibri" w:hAnsi="Calibri" w:cs="Calibri"/>
          <w:i/>
          <w:iCs/>
          <w:kern w:val="0"/>
          <w:sz w:val="24"/>
          <w:szCs w:val="24"/>
          <w:lang w:val="en-US"/>
          <w14:ligatures w14:val="none"/>
        </w:rPr>
        <w:t xml:space="preserve">The impact of World Heritage Site designation on local communities – a comparative study of </w:t>
      </w:r>
      <w:proofErr w:type="spellStart"/>
      <w:r w:rsidRPr="00D44E2B">
        <w:rPr>
          <w:rFonts w:ascii="Calibri" w:hAnsi="Calibri" w:cs="Calibri"/>
          <w:i/>
          <w:iCs/>
          <w:kern w:val="0"/>
          <w:sz w:val="24"/>
          <w:szCs w:val="24"/>
          <w:lang w:val="en-US"/>
          <w14:ligatures w14:val="none"/>
        </w:rPr>
        <w:t>Ogimachi</w:t>
      </w:r>
      <w:proofErr w:type="spellEnd"/>
      <w:r w:rsidRPr="00D44E2B">
        <w:rPr>
          <w:rFonts w:ascii="Calibri" w:hAnsi="Calibri" w:cs="Calibri"/>
          <w:i/>
          <w:iCs/>
          <w:kern w:val="0"/>
          <w:sz w:val="24"/>
          <w:szCs w:val="24"/>
          <w:lang w:val="en-US"/>
          <w14:ligatures w14:val="none"/>
        </w:rPr>
        <w:t xml:space="preserve"> (Japan) and Saltaire (UK)</w:t>
      </w:r>
      <w:r w:rsidRPr="00D44E2B">
        <w:rPr>
          <w:rFonts w:ascii="Calibri" w:hAnsi="Calibri" w:cs="Calibri"/>
          <w:kern w:val="0"/>
          <w:sz w:val="24"/>
          <w:szCs w:val="24"/>
          <w:lang w:val="en-US"/>
          <w14:ligatures w14:val="none"/>
        </w:rPr>
        <w:t xml:space="preserve">. Doctoral thesis, Nottingham Trent University, UK. </w:t>
      </w:r>
      <w:hyperlink r:id="rId38">
        <w:r w:rsidRPr="00D44E2B">
          <w:rPr>
            <w:rFonts w:ascii="Calibri" w:eastAsia="Times New Roman" w:hAnsi="Calibri" w:cs="Calibri"/>
            <w:color w:val="006DB4"/>
            <w:kern w:val="0"/>
            <w:sz w:val="24"/>
            <w:szCs w:val="24"/>
            <w:u w:val="single"/>
            <w:lang w:val="en-US" w:eastAsia="es-MX"/>
            <w14:ligatures w14:val="none"/>
          </w:rPr>
          <w:t>https://irep.ntu.ac.uk/id/eprint/43852</w:t>
        </w:r>
      </w:hyperlink>
    </w:p>
    <w:p w14:paraId="3627827E" w14:textId="2DB7447E" w:rsidR="0049583F" w:rsidRPr="00D44E2B" w:rsidRDefault="0049583F" w:rsidP="003D0615">
      <w:pPr>
        <w:suppressAutoHyphens/>
        <w:spacing w:line="240" w:lineRule="auto"/>
        <w:ind w:left="709" w:hanging="709"/>
        <w:jc w:val="both"/>
        <w:rPr>
          <w:rFonts w:ascii="Calibri" w:eastAsia="Times New Roman" w:hAnsi="Calibri" w:cs="Calibri"/>
          <w:color w:val="333333"/>
          <w:kern w:val="0"/>
          <w:sz w:val="24"/>
          <w:szCs w:val="24"/>
          <w:lang w:val="en-US" w:eastAsia="es-MX"/>
          <w14:ligatures w14:val="none"/>
        </w:rPr>
      </w:pPr>
      <w:proofErr w:type="spellStart"/>
      <w:r w:rsidRPr="00D44E2B">
        <w:rPr>
          <w:rFonts w:ascii="Calibri" w:eastAsia="Times New Roman" w:hAnsi="Calibri" w:cs="Calibri"/>
          <w:kern w:val="0"/>
          <w:sz w:val="24"/>
          <w:szCs w:val="24"/>
          <w:lang w:val="en-US" w:eastAsia="es-MX"/>
          <w14:ligatures w14:val="none"/>
        </w:rPr>
        <w:t>J</w:t>
      </w:r>
      <w:r w:rsidR="002015EC" w:rsidRPr="00D44E2B">
        <w:rPr>
          <w:rFonts w:ascii="Calibri" w:eastAsia="Times New Roman" w:hAnsi="Calibri" w:cs="Calibri"/>
          <w:kern w:val="0"/>
          <w:sz w:val="24"/>
          <w:szCs w:val="24"/>
          <w:lang w:val="en-US" w:eastAsia="es-MX"/>
          <w14:ligatures w14:val="none"/>
        </w:rPr>
        <w:t>imura</w:t>
      </w:r>
      <w:proofErr w:type="spellEnd"/>
      <w:r w:rsidRPr="00D44E2B">
        <w:rPr>
          <w:rFonts w:ascii="Calibri" w:eastAsia="Times New Roman" w:hAnsi="Calibri" w:cs="Calibri"/>
          <w:kern w:val="0"/>
          <w:sz w:val="24"/>
          <w:szCs w:val="24"/>
          <w:lang w:val="en-US" w:eastAsia="es-MX"/>
          <w14:ligatures w14:val="none"/>
        </w:rPr>
        <w:t>, T. (2016)</w:t>
      </w:r>
      <w:r w:rsidR="002015EC">
        <w:rPr>
          <w:rFonts w:ascii="Calibri" w:eastAsia="Times New Roman" w:hAnsi="Calibri" w:cs="Calibri"/>
          <w:kern w:val="0"/>
          <w:sz w:val="24"/>
          <w:szCs w:val="24"/>
          <w:lang w:val="en-US" w:eastAsia="es-MX"/>
          <w14:ligatures w14:val="none"/>
        </w:rPr>
        <w:t xml:space="preserve">. </w:t>
      </w:r>
      <w:r w:rsidRPr="00D44E2B">
        <w:rPr>
          <w:rFonts w:ascii="Calibri" w:eastAsia="Times New Roman" w:hAnsi="Calibri" w:cs="Calibri"/>
          <w:kern w:val="0"/>
          <w:sz w:val="24"/>
          <w:szCs w:val="24"/>
          <w:lang w:val="en-US" w:eastAsia="es-MX"/>
          <w14:ligatures w14:val="none"/>
        </w:rPr>
        <w:t>World heritage site management: a case study of sacred sites and pilgrimage routes in the Kii mountain range, Japan</w:t>
      </w:r>
      <w:r w:rsidR="002015EC">
        <w:rPr>
          <w:rFonts w:ascii="Calibri" w:eastAsia="Times New Roman" w:hAnsi="Calibri" w:cs="Calibri"/>
          <w:kern w:val="0"/>
          <w:sz w:val="24"/>
          <w:szCs w:val="24"/>
          <w:lang w:val="en-US" w:eastAsia="es-MX"/>
          <w14:ligatures w14:val="none"/>
        </w:rPr>
        <w:t>.</w:t>
      </w:r>
      <w:r w:rsidRPr="00D44E2B">
        <w:rPr>
          <w:rFonts w:ascii="Calibri" w:eastAsia="Times New Roman" w:hAnsi="Calibri" w:cs="Calibri"/>
          <w:kern w:val="0"/>
          <w:sz w:val="24"/>
          <w:szCs w:val="24"/>
          <w:lang w:val="en-US" w:eastAsia="es-MX"/>
          <w14:ligatures w14:val="none"/>
        </w:rPr>
        <w:t xml:space="preserve"> </w:t>
      </w:r>
      <w:r w:rsidRPr="00D44E2B">
        <w:rPr>
          <w:rFonts w:ascii="Calibri" w:eastAsia="Times New Roman" w:hAnsi="Calibri" w:cs="Calibri"/>
          <w:i/>
          <w:iCs/>
          <w:kern w:val="0"/>
          <w:sz w:val="24"/>
          <w:szCs w:val="24"/>
          <w:lang w:val="en-US" w:eastAsia="es-MX"/>
          <w14:ligatures w14:val="none"/>
        </w:rPr>
        <w:t xml:space="preserve">Journal of Heritage Tourism </w:t>
      </w:r>
      <w:r w:rsidRPr="00D44E2B">
        <w:rPr>
          <w:rFonts w:ascii="Calibri" w:eastAsia="Times New Roman" w:hAnsi="Calibri" w:cs="Calibri"/>
          <w:kern w:val="0"/>
          <w:sz w:val="24"/>
          <w:szCs w:val="24"/>
          <w:lang w:val="en-US" w:eastAsia="es-MX"/>
          <w14:ligatures w14:val="none"/>
        </w:rPr>
        <w:t xml:space="preserve">11(4), 382–394. </w:t>
      </w:r>
      <w:hyperlink r:id="rId39">
        <w:r w:rsidRPr="00D44E2B">
          <w:rPr>
            <w:rFonts w:ascii="Calibri" w:eastAsia="Times New Roman" w:hAnsi="Calibri" w:cs="Calibri"/>
            <w:color w:val="006DB4"/>
            <w:kern w:val="0"/>
            <w:sz w:val="24"/>
            <w:szCs w:val="24"/>
            <w:u w:val="single"/>
            <w:lang w:val="en-US" w:eastAsia="es-MX"/>
            <w14:ligatures w14:val="none"/>
          </w:rPr>
          <w:t>https://doi.org/10.1080/1743873X.2016.1146287</w:t>
        </w:r>
      </w:hyperlink>
    </w:p>
    <w:p w14:paraId="24C5E462" w14:textId="49AA22F9" w:rsidR="0049583F" w:rsidRDefault="0049583F" w:rsidP="003D0615">
      <w:pPr>
        <w:widowControl w:val="0"/>
        <w:suppressAutoHyphens/>
        <w:spacing w:line="240" w:lineRule="auto"/>
        <w:ind w:left="709" w:hanging="709"/>
        <w:jc w:val="both"/>
        <w:rPr>
          <w:rFonts w:ascii="Calibri" w:hAnsi="Calibri" w:cs="Calibri"/>
          <w:color w:val="467886" w:themeColor="hyperlink"/>
          <w:kern w:val="0"/>
          <w:sz w:val="24"/>
          <w:szCs w:val="24"/>
          <w:u w:val="single"/>
          <w:lang w:val="en-US"/>
          <w14:ligatures w14:val="none"/>
        </w:rPr>
      </w:pPr>
      <w:proofErr w:type="spellStart"/>
      <w:r w:rsidRPr="00D44E2B">
        <w:rPr>
          <w:rFonts w:ascii="Calibri" w:hAnsi="Calibri" w:cs="Calibri"/>
          <w:kern w:val="0"/>
          <w:sz w:val="24"/>
          <w:szCs w:val="24"/>
          <w:lang w:val="en-US"/>
          <w14:ligatures w14:val="none"/>
        </w:rPr>
        <w:t>J</w:t>
      </w:r>
      <w:r w:rsidR="002015EC" w:rsidRPr="00D44E2B">
        <w:rPr>
          <w:rFonts w:ascii="Calibri" w:hAnsi="Calibri" w:cs="Calibri"/>
          <w:kern w:val="0"/>
          <w:sz w:val="24"/>
          <w:szCs w:val="24"/>
          <w:lang w:val="en-US"/>
          <w14:ligatures w14:val="none"/>
        </w:rPr>
        <w:t>imura</w:t>
      </w:r>
      <w:proofErr w:type="spellEnd"/>
      <w:r w:rsidRPr="00D44E2B">
        <w:rPr>
          <w:rFonts w:ascii="Calibri" w:hAnsi="Calibri" w:cs="Calibri"/>
          <w:kern w:val="0"/>
          <w:sz w:val="24"/>
          <w:szCs w:val="24"/>
          <w:lang w:val="en-US"/>
          <w14:ligatures w14:val="none"/>
        </w:rPr>
        <w:t>, T. (2019)</w:t>
      </w:r>
      <w:r w:rsidR="002015EC">
        <w:rPr>
          <w:rFonts w:ascii="Calibri" w:hAnsi="Calibri" w:cs="Calibri"/>
          <w:kern w:val="0"/>
          <w:sz w:val="24"/>
          <w:szCs w:val="24"/>
          <w:lang w:val="en-US"/>
          <w14:ligatures w14:val="none"/>
        </w:rPr>
        <w:t xml:space="preserve">. </w:t>
      </w:r>
      <w:r w:rsidRPr="00D44E2B">
        <w:rPr>
          <w:rFonts w:ascii="Calibri" w:hAnsi="Calibri" w:cs="Calibri"/>
          <w:i/>
          <w:iCs/>
          <w:kern w:val="0"/>
          <w:sz w:val="24"/>
          <w:szCs w:val="24"/>
          <w:lang w:val="en-US"/>
          <w14:ligatures w14:val="none"/>
        </w:rPr>
        <w:t>World Heritage Sites: Tourism, Local Communities and Conservation Activities</w:t>
      </w:r>
      <w:r w:rsidR="002015EC">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Liverpool Jhon </w:t>
      </w:r>
      <w:proofErr w:type="spellStart"/>
      <w:r w:rsidRPr="00D44E2B">
        <w:rPr>
          <w:rFonts w:ascii="Calibri" w:hAnsi="Calibri" w:cs="Calibri"/>
          <w:kern w:val="0"/>
          <w:sz w:val="24"/>
          <w:szCs w:val="24"/>
          <w:lang w:val="en-US"/>
          <w14:ligatures w14:val="none"/>
        </w:rPr>
        <w:t>Moores</w:t>
      </w:r>
      <w:proofErr w:type="spellEnd"/>
      <w:r w:rsidRPr="00D44E2B">
        <w:rPr>
          <w:rFonts w:ascii="Calibri" w:hAnsi="Calibri" w:cs="Calibri"/>
          <w:kern w:val="0"/>
          <w:sz w:val="24"/>
          <w:szCs w:val="24"/>
          <w:lang w:val="en-US"/>
          <w14:ligatures w14:val="none"/>
        </w:rPr>
        <w:t xml:space="preserve"> University, UK. pp. 1-167. </w:t>
      </w:r>
      <w:hyperlink r:id="rId40" w:history="1">
        <w:r w:rsidR="000A1FC9" w:rsidRPr="00866215">
          <w:rPr>
            <w:rStyle w:val="Hipervnculo"/>
            <w:rFonts w:ascii="Calibri" w:hAnsi="Calibri" w:cs="Calibri"/>
            <w:kern w:val="0"/>
            <w:sz w:val="24"/>
            <w:szCs w:val="24"/>
            <w:lang w:val="en-US"/>
            <w14:ligatures w14:val="none"/>
          </w:rPr>
          <w:t>https://www.cabi.org/leisuretourism/ebook/20183360896</w:t>
        </w:r>
      </w:hyperlink>
    </w:p>
    <w:p w14:paraId="1F0C8C3E" w14:textId="77777777" w:rsidR="000A1FC9" w:rsidRPr="00D44E2B" w:rsidRDefault="000A1FC9" w:rsidP="003D0615">
      <w:pPr>
        <w:suppressAutoHyphens/>
        <w:spacing w:line="240" w:lineRule="auto"/>
        <w:ind w:left="709" w:hanging="709"/>
        <w:jc w:val="both"/>
        <w:rPr>
          <w:rFonts w:ascii="Calibri" w:hAnsi="Calibri" w:cs="Calibri"/>
          <w:color w:val="000000" w:themeColor="text1"/>
          <w:kern w:val="0"/>
          <w:sz w:val="24"/>
          <w:szCs w:val="24"/>
          <w:lang w:val="es-ES"/>
          <w14:ligatures w14:val="none"/>
        </w:rPr>
      </w:pPr>
      <w:r w:rsidRPr="00844DA5">
        <w:rPr>
          <w:rFonts w:ascii="Calibri" w:hAnsi="Calibri" w:cs="Calibri"/>
          <w:color w:val="000000" w:themeColor="text1"/>
          <w:kern w:val="0"/>
          <w:sz w:val="24"/>
          <w:szCs w:val="24"/>
          <w:lang w:val="en-US"/>
          <w14:ligatures w14:val="none"/>
        </w:rPr>
        <w:t>JP MORGAN CHASE &amp; CO. (2023).</w:t>
      </w:r>
      <w:r w:rsidRPr="00D44E2B">
        <w:rPr>
          <w:rFonts w:ascii="Calibri" w:hAnsi="Calibri" w:cs="Calibri"/>
          <w:color w:val="000000" w:themeColor="text1"/>
          <w:kern w:val="0"/>
          <w:sz w:val="24"/>
          <w:szCs w:val="24"/>
          <w:lang w:val="en-US"/>
          <w14:ligatures w14:val="none"/>
        </w:rPr>
        <w:t xml:space="preserve"> </w:t>
      </w:r>
      <w:r w:rsidRPr="00D44E2B">
        <w:rPr>
          <w:rFonts w:ascii="Calibri" w:hAnsi="Calibri" w:cs="Calibri"/>
          <w:i/>
          <w:iCs/>
          <w:kern w:val="0"/>
          <w:sz w:val="24"/>
          <w:szCs w:val="24"/>
          <w:lang w:val="en-US"/>
          <w14:ligatures w14:val="none"/>
        </w:rPr>
        <w:t>Country risk in the global economy</w:t>
      </w:r>
      <w:r w:rsidRPr="00D44E2B">
        <w:rPr>
          <w:rFonts w:ascii="Calibri" w:hAnsi="Calibri" w:cs="Calibri"/>
          <w:kern w:val="0"/>
          <w:sz w:val="24"/>
          <w:szCs w:val="24"/>
          <w:lang w:val="en-US"/>
          <w14:ligatures w14:val="none"/>
        </w:rPr>
        <w:t>.</w:t>
      </w:r>
      <w:r w:rsidRPr="00D44E2B">
        <w:rPr>
          <w:rFonts w:ascii="Calibri" w:hAnsi="Calibri" w:cs="Calibri"/>
          <w:color w:val="000000" w:themeColor="text1"/>
          <w:kern w:val="0"/>
          <w:sz w:val="24"/>
          <w:szCs w:val="24"/>
          <w:lang w:val="en-US"/>
          <w14:ligatures w14:val="none"/>
        </w:rPr>
        <w:t> </w:t>
      </w:r>
      <w:hyperlink r:id="rId41" w:tgtFrame="_blank" w:history="1">
        <w:r w:rsidRPr="00D44E2B">
          <w:rPr>
            <w:rStyle w:val="Hipervnculo"/>
            <w:rFonts w:ascii="Calibri" w:hAnsi="Calibri" w:cs="Calibri"/>
            <w:kern w:val="0"/>
            <w:sz w:val="24"/>
            <w:szCs w:val="24"/>
            <w14:ligatures w14:val="none"/>
          </w:rPr>
          <w:t>https://www.jpmorgan.com/insights/business/risk-mitigation/country-risk-in-the-global-economy</w:t>
        </w:r>
      </w:hyperlink>
    </w:p>
    <w:p w14:paraId="56D73773" w14:textId="0E390988" w:rsidR="0049583F" w:rsidRPr="00D44E2B" w:rsidRDefault="0049583F" w:rsidP="003D0615">
      <w:pPr>
        <w:suppressAutoHyphens/>
        <w:spacing w:line="240" w:lineRule="auto"/>
        <w:ind w:left="709" w:hanging="709"/>
        <w:jc w:val="both"/>
        <w:rPr>
          <w:rFonts w:ascii="Calibri" w:hAnsi="Calibri" w:cs="Calibri"/>
          <w:color w:val="467886" w:themeColor="hyperlink"/>
          <w:kern w:val="0"/>
          <w:sz w:val="24"/>
          <w:szCs w:val="24"/>
          <w:u w:val="single"/>
          <w14:ligatures w14:val="none"/>
        </w:rPr>
      </w:pPr>
      <w:proofErr w:type="spellStart"/>
      <w:r w:rsidRPr="00D44E2B">
        <w:rPr>
          <w:rFonts w:ascii="Calibri" w:hAnsi="Calibri" w:cs="Calibri"/>
          <w:kern w:val="0"/>
          <w:sz w:val="24"/>
          <w:szCs w:val="24"/>
          <w14:ligatures w14:val="none"/>
        </w:rPr>
        <w:t>L</w:t>
      </w:r>
      <w:r w:rsidR="005B619B" w:rsidRPr="00D44E2B">
        <w:rPr>
          <w:rFonts w:ascii="Calibri" w:hAnsi="Calibri" w:cs="Calibri"/>
          <w:kern w:val="0"/>
          <w:sz w:val="24"/>
          <w:szCs w:val="24"/>
          <w14:ligatures w14:val="none"/>
        </w:rPr>
        <w:t>eonardi</w:t>
      </w:r>
      <w:proofErr w:type="spellEnd"/>
      <w:r w:rsidRPr="00D44E2B">
        <w:rPr>
          <w:rFonts w:ascii="Calibri" w:hAnsi="Calibri" w:cs="Calibri"/>
          <w:kern w:val="0"/>
          <w:sz w:val="24"/>
          <w:szCs w:val="24"/>
          <w14:ligatures w14:val="none"/>
        </w:rPr>
        <w:t>, V., E</w:t>
      </w:r>
      <w:r w:rsidR="005B619B" w:rsidRPr="00D44E2B">
        <w:rPr>
          <w:rFonts w:ascii="Calibri" w:hAnsi="Calibri" w:cs="Calibri"/>
          <w:kern w:val="0"/>
          <w:sz w:val="24"/>
          <w:szCs w:val="24"/>
          <w14:ligatures w14:val="none"/>
        </w:rPr>
        <w:t>lías</w:t>
      </w:r>
      <w:r w:rsidRPr="00D44E2B">
        <w:rPr>
          <w:rFonts w:ascii="Calibri" w:hAnsi="Calibri" w:cs="Calibri"/>
          <w:kern w:val="0"/>
          <w:sz w:val="24"/>
          <w:szCs w:val="24"/>
          <w14:ligatures w14:val="none"/>
        </w:rPr>
        <w:t xml:space="preserve">, S. y </w:t>
      </w:r>
      <w:proofErr w:type="spellStart"/>
      <w:r w:rsidRPr="00D44E2B">
        <w:rPr>
          <w:rFonts w:ascii="Calibri" w:hAnsi="Calibri" w:cs="Calibri"/>
          <w:kern w:val="0"/>
          <w:sz w:val="24"/>
          <w:szCs w:val="24"/>
          <w14:ligatures w14:val="none"/>
        </w:rPr>
        <w:t>T</w:t>
      </w:r>
      <w:r w:rsidR="005B619B" w:rsidRPr="00D44E2B">
        <w:rPr>
          <w:rFonts w:ascii="Calibri" w:hAnsi="Calibri" w:cs="Calibri"/>
          <w:kern w:val="0"/>
          <w:sz w:val="24"/>
          <w:szCs w:val="24"/>
          <w14:ligatures w14:val="none"/>
        </w:rPr>
        <w:t>ortul</w:t>
      </w:r>
      <w:proofErr w:type="spellEnd"/>
      <w:r w:rsidRPr="00D44E2B">
        <w:rPr>
          <w:rFonts w:ascii="Calibri" w:hAnsi="Calibri" w:cs="Calibri"/>
          <w:kern w:val="0"/>
          <w:sz w:val="24"/>
          <w:szCs w:val="24"/>
          <w14:ligatures w14:val="none"/>
        </w:rPr>
        <w:t>, M. (2022)</w:t>
      </w:r>
      <w:r w:rsidR="005B619B">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Sitios de patrimonio mundial como determinantes de la demanda de turismo internacional en Latinoamérica y Caribe</w:t>
      </w:r>
      <w:r w:rsidR="00167FC5">
        <w:rPr>
          <w:rFonts w:ascii="Calibri" w:hAnsi="Calibri" w:cs="Calibri"/>
          <w:kern w:val="0"/>
          <w:sz w:val="24"/>
          <w:szCs w:val="24"/>
          <w14:ligatures w14:val="none"/>
        </w:rPr>
        <w:t>.</w:t>
      </w:r>
      <w:r w:rsidRPr="00D44E2B">
        <w:rPr>
          <w:rFonts w:ascii="Calibri" w:hAnsi="Calibri" w:cs="Calibri"/>
          <w:kern w:val="0"/>
          <w:sz w:val="24"/>
          <w:szCs w:val="24"/>
          <w14:ligatures w14:val="none"/>
        </w:rPr>
        <w:t xml:space="preserve"> </w:t>
      </w:r>
      <w:r w:rsidRPr="00D44E2B">
        <w:rPr>
          <w:rFonts w:ascii="Calibri" w:hAnsi="Calibri" w:cs="Calibri"/>
          <w:i/>
          <w:iCs/>
          <w:kern w:val="0"/>
          <w:sz w:val="24"/>
          <w:szCs w:val="24"/>
          <w14:ligatures w14:val="none"/>
        </w:rPr>
        <w:t>Lecturas de Economía</w:t>
      </w:r>
      <w:r w:rsidRPr="00D44E2B">
        <w:rPr>
          <w:rFonts w:ascii="Calibri" w:hAnsi="Calibri" w:cs="Calibri"/>
          <w:kern w:val="0"/>
          <w:sz w:val="24"/>
          <w:szCs w:val="24"/>
          <w14:ligatures w14:val="none"/>
        </w:rPr>
        <w:t xml:space="preserve">, 96, 171-200. </w:t>
      </w:r>
      <w:hyperlink r:id="rId42">
        <w:r w:rsidRPr="00D44E2B">
          <w:rPr>
            <w:rFonts w:ascii="Calibri" w:hAnsi="Calibri" w:cs="Calibri"/>
            <w:color w:val="467886" w:themeColor="hyperlink"/>
            <w:kern w:val="0"/>
            <w:sz w:val="24"/>
            <w:szCs w:val="24"/>
            <w:u w:val="single"/>
            <w14:ligatures w14:val="none"/>
          </w:rPr>
          <w:t>https://doi.org/10.17533/udea.Ie.n96a342804</w:t>
        </w:r>
      </w:hyperlink>
    </w:p>
    <w:p w14:paraId="11628002" w14:textId="0A7B2A22" w:rsidR="0049583F" w:rsidRPr="00D44E2B" w:rsidRDefault="0049583F" w:rsidP="003D0615">
      <w:pPr>
        <w:suppressAutoHyphens/>
        <w:spacing w:line="240" w:lineRule="auto"/>
        <w:ind w:left="709" w:hanging="709"/>
        <w:jc w:val="both"/>
        <w:rPr>
          <w:rFonts w:ascii="Calibri" w:hAnsi="Calibri" w:cs="Calibri"/>
          <w:kern w:val="0"/>
          <w:sz w:val="24"/>
          <w:szCs w:val="24"/>
          <w14:ligatures w14:val="none"/>
        </w:rPr>
      </w:pPr>
      <w:proofErr w:type="spellStart"/>
      <w:r w:rsidRPr="007056C1">
        <w:rPr>
          <w:rFonts w:ascii="Calibri" w:hAnsi="Calibri" w:cs="Calibri"/>
          <w:kern w:val="0"/>
          <w:sz w:val="24"/>
          <w:szCs w:val="24"/>
          <w14:ligatures w14:val="none"/>
        </w:rPr>
        <w:t>N</w:t>
      </w:r>
      <w:r w:rsidR="007056C1" w:rsidRPr="007056C1">
        <w:rPr>
          <w:rFonts w:ascii="Calibri" w:hAnsi="Calibri" w:cs="Calibri"/>
          <w:kern w:val="0"/>
          <w:sz w:val="24"/>
          <w:szCs w:val="24"/>
          <w14:ligatures w14:val="none"/>
        </w:rPr>
        <w:t>audé</w:t>
      </w:r>
      <w:proofErr w:type="spellEnd"/>
      <w:r w:rsidRPr="007056C1">
        <w:rPr>
          <w:rFonts w:ascii="Calibri" w:hAnsi="Calibri" w:cs="Calibri"/>
          <w:kern w:val="0"/>
          <w:sz w:val="24"/>
          <w:szCs w:val="24"/>
          <w14:ligatures w14:val="none"/>
        </w:rPr>
        <w:t>, W.</w:t>
      </w:r>
      <w:r w:rsidR="00B54313">
        <w:rPr>
          <w:rFonts w:ascii="Calibri" w:hAnsi="Calibri" w:cs="Calibri"/>
          <w:kern w:val="0"/>
          <w:sz w:val="24"/>
          <w:szCs w:val="24"/>
          <w14:ligatures w14:val="none"/>
        </w:rPr>
        <w:t xml:space="preserve"> &amp;</w:t>
      </w:r>
      <w:r w:rsidRPr="007056C1">
        <w:rPr>
          <w:rFonts w:ascii="Calibri" w:hAnsi="Calibri" w:cs="Calibri"/>
          <w:kern w:val="0"/>
          <w:sz w:val="24"/>
          <w:szCs w:val="24"/>
          <w14:ligatures w14:val="none"/>
        </w:rPr>
        <w:t xml:space="preserve"> </w:t>
      </w:r>
      <w:proofErr w:type="spellStart"/>
      <w:r w:rsidRPr="007056C1">
        <w:rPr>
          <w:rFonts w:ascii="Calibri" w:hAnsi="Calibri" w:cs="Calibri"/>
          <w:kern w:val="0"/>
          <w:sz w:val="24"/>
          <w:szCs w:val="24"/>
          <w14:ligatures w14:val="none"/>
        </w:rPr>
        <w:t>S</w:t>
      </w:r>
      <w:r w:rsidR="007056C1" w:rsidRPr="007056C1">
        <w:rPr>
          <w:rFonts w:ascii="Calibri" w:hAnsi="Calibri" w:cs="Calibri"/>
          <w:kern w:val="0"/>
          <w:sz w:val="24"/>
          <w:szCs w:val="24"/>
          <w14:ligatures w14:val="none"/>
        </w:rPr>
        <w:t>aayman</w:t>
      </w:r>
      <w:proofErr w:type="spellEnd"/>
      <w:r w:rsidRPr="007056C1">
        <w:rPr>
          <w:rFonts w:ascii="Calibri" w:hAnsi="Calibri" w:cs="Calibri"/>
          <w:kern w:val="0"/>
          <w:sz w:val="24"/>
          <w:szCs w:val="24"/>
          <w14:ligatures w14:val="none"/>
        </w:rPr>
        <w:t>, A. (2005)</w:t>
      </w:r>
      <w:r w:rsidR="007056C1" w:rsidRPr="007056C1">
        <w:rPr>
          <w:rFonts w:ascii="Calibri" w:hAnsi="Calibri" w:cs="Calibri"/>
          <w:kern w:val="0"/>
          <w:sz w:val="24"/>
          <w:szCs w:val="24"/>
          <w14:ligatures w14:val="none"/>
        </w:rPr>
        <w:t xml:space="preserve">. </w:t>
      </w:r>
      <w:r w:rsidRPr="00D44E2B">
        <w:rPr>
          <w:rFonts w:ascii="Calibri" w:hAnsi="Calibri" w:cs="Calibri"/>
          <w:kern w:val="0"/>
          <w:sz w:val="24"/>
          <w:szCs w:val="24"/>
          <w:lang w:val="en-US"/>
          <w14:ligatures w14:val="none"/>
        </w:rPr>
        <w:t>Determinants of tourist arrivals in Africa: A panel data regression analysis</w:t>
      </w:r>
      <w:r w:rsidR="007056C1">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proofErr w:type="spellStart"/>
      <w:r w:rsidRPr="00843A84">
        <w:rPr>
          <w:rFonts w:ascii="Calibri" w:hAnsi="Calibri" w:cs="Calibri"/>
          <w:i/>
          <w:iCs/>
          <w:kern w:val="0"/>
          <w:sz w:val="24"/>
          <w:szCs w:val="24"/>
          <w14:ligatures w14:val="none"/>
        </w:rPr>
        <w:t>Tourism</w:t>
      </w:r>
      <w:proofErr w:type="spellEnd"/>
      <w:r w:rsidRPr="00843A84">
        <w:rPr>
          <w:rFonts w:ascii="Calibri" w:hAnsi="Calibri" w:cs="Calibri"/>
          <w:i/>
          <w:iCs/>
          <w:kern w:val="0"/>
          <w:sz w:val="24"/>
          <w:szCs w:val="24"/>
          <w14:ligatures w14:val="none"/>
        </w:rPr>
        <w:t xml:space="preserve"> </w:t>
      </w:r>
      <w:proofErr w:type="spellStart"/>
      <w:r w:rsidRPr="00843A84">
        <w:rPr>
          <w:rFonts w:ascii="Calibri" w:hAnsi="Calibri" w:cs="Calibri"/>
          <w:i/>
          <w:iCs/>
          <w:kern w:val="0"/>
          <w:sz w:val="24"/>
          <w:szCs w:val="24"/>
          <w14:ligatures w14:val="none"/>
        </w:rPr>
        <w:t>Economics</w:t>
      </w:r>
      <w:proofErr w:type="spellEnd"/>
      <w:r w:rsidRPr="00843A84">
        <w:rPr>
          <w:rFonts w:ascii="Calibri" w:hAnsi="Calibri" w:cs="Calibri"/>
          <w:kern w:val="0"/>
          <w:sz w:val="24"/>
          <w:szCs w:val="24"/>
          <w14:ligatures w14:val="none"/>
        </w:rPr>
        <w:t>, 11(3), 365-391</w:t>
      </w:r>
      <w:r w:rsidR="007056C1" w:rsidRPr="00843A84">
        <w:rPr>
          <w:rFonts w:ascii="Calibri" w:hAnsi="Calibri" w:cs="Calibri"/>
          <w:kern w:val="0"/>
          <w:sz w:val="24"/>
          <w:szCs w:val="24"/>
          <w14:ligatures w14:val="none"/>
        </w:rPr>
        <w:t xml:space="preserve">. </w:t>
      </w:r>
      <w:hyperlink r:id="rId43">
        <w:r w:rsidRPr="00D44E2B">
          <w:rPr>
            <w:rFonts w:ascii="Calibri" w:hAnsi="Calibri" w:cs="Calibri"/>
            <w:color w:val="467886" w:themeColor="hyperlink"/>
            <w:kern w:val="0"/>
            <w:sz w:val="24"/>
            <w:szCs w:val="24"/>
            <w:u w:val="single"/>
            <w14:ligatures w14:val="none"/>
          </w:rPr>
          <w:t>https://doi/10.5367/000000005774352962</w:t>
        </w:r>
      </w:hyperlink>
    </w:p>
    <w:p w14:paraId="0AD586E0" w14:textId="60391B00" w:rsidR="0049583F" w:rsidRPr="00D44E2B" w:rsidRDefault="0049583F" w:rsidP="003D0615">
      <w:pPr>
        <w:suppressAutoHyphens/>
        <w:spacing w:line="240" w:lineRule="auto"/>
        <w:ind w:left="709" w:hanging="709"/>
        <w:jc w:val="both"/>
        <w:rPr>
          <w:rFonts w:ascii="Calibri" w:hAnsi="Calibri" w:cs="Calibri"/>
          <w:color w:val="467886" w:themeColor="hyperlink"/>
          <w:kern w:val="0"/>
          <w:sz w:val="24"/>
          <w:szCs w:val="24"/>
          <w:u w:val="single"/>
          <w14:ligatures w14:val="none"/>
        </w:rPr>
      </w:pPr>
      <w:r w:rsidRPr="00D44E2B">
        <w:rPr>
          <w:rFonts w:ascii="Calibri" w:hAnsi="Calibri" w:cs="Calibri"/>
          <w:kern w:val="0"/>
          <w:sz w:val="24"/>
          <w:szCs w:val="24"/>
          <w14:ligatures w14:val="none"/>
        </w:rPr>
        <w:t>N</w:t>
      </w:r>
      <w:r w:rsidR="00843A84" w:rsidRPr="00D44E2B">
        <w:rPr>
          <w:rFonts w:ascii="Calibri" w:hAnsi="Calibri" w:cs="Calibri"/>
          <w:kern w:val="0"/>
          <w:sz w:val="24"/>
          <w:szCs w:val="24"/>
          <w14:ligatures w14:val="none"/>
        </w:rPr>
        <w:t>ava</w:t>
      </w:r>
      <w:r w:rsidRPr="00D44E2B">
        <w:rPr>
          <w:rFonts w:ascii="Calibri" w:hAnsi="Calibri" w:cs="Calibri"/>
          <w:kern w:val="0"/>
          <w:sz w:val="24"/>
          <w:szCs w:val="24"/>
          <w14:ligatures w14:val="none"/>
        </w:rPr>
        <w:t xml:space="preserve"> </w:t>
      </w:r>
      <w:proofErr w:type="spellStart"/>
      <w:r w:rsidRPr="00D44E2B">
        <w:rPr>
          <w:rFonts w:ascii="Calibri" w:hAnsi="Calibri" w:cs="Calibri"/>
          <w:kern w:val="0"/>
          <w:sz w:val="24"/>
          <w:szCs w:val="24"/>
          <w14:ligatures w14:val="none"/>
        </w:rPr>
        <w:t>R</w:t>
      </w:r>
      <w:r w:rsidR="00843A84" w:rsidRPr="00D44E2B">
        <w:rPr>
          <w:rFonts w:ascii="Calibri" w:hAnsi="Calibri" w:cs="Calibri"/>
          <w:kern w:val="0"/>
          <w:sz w:val="24"/>
          <w:szCs w:val="24"/>
          <w14:ligatures w14:val="none"/>
        </w:rPr>
        <w:t>ogel</w:t>
      </w:r>
      <w:proofErr w:type="spellEnd"/>
      <w:r w:rsidRPr="00D44E2B">
        <w:rPr>
          <w:rFonts w:ascii="Calibri" w:hAnsi="Calibri" w:cs="Calibri"/>
          <w:kern w:val="0"/>
          <w:sz w:val="24"/>
          <w:szCs w:val="24"/>
          <w14:ligatures w14:val="none"/>
        </w:rPr>
        <w:t>, R., M</w:t>
      </w:r>
      <w:r w:rsidR="00843A84" w:rsidRPr="00D44E2B">
        <w:rPr>
          <w:rFonts w:ascii="Calibri" w:hAnsi="Calibri" w:cs="Calibri"/>
          <w:kern w:val="0"/>
          <w:sz w:val="24"/>
          <w:szCs w:val="24"/>
          <w14:ligatures w14:val="none"/>
        </w:rPr>
        <w:t>ercado</w:t>
      </w:r>
      <w:r w:rsidRPr="00D44E2B">
        <w:rPr>
          <w:rFonts w:ascii="Calibri" w:hAnsi="Calibri" w:cs="Calibri"/>
          <w:kern w:val="0"/>
          <w:sz w:val="24"/>
          <w:szCs w:val="24"/>
          <w14:ligatures w14:val="none"/>
        </w:rPr>
        <w:t xml:space="preserve"> S</w:t>
      </w:r>
      <w:r w:rsidR="00843A84" w:rsidRPr="00D44E2B">
        <w:rPr>
          <w:rFonts w:ascii="Calibri" w:hAnsi="Calibri" w:cs="Calibri"/>
          <w:kern w:val="0"/>
          <w:sz w:val="24"/>
          <w:szCs w:val="24"/>
          <w14:ligatures w14:val="none"/>
        </w:rPr>
        <w:t>algado</w:t>
      </w:r>
      <w:r w:rsidRPr="00D44E2B">
        <w:rPr>
          <w:rFonts w:ascii="Calibri" w:hAnsi="Calibri" w:cs="Calibri"/>
          <w:kern w:val="0"/>
          <w:sz w:val="24"/>
          <w:szCs w:val="24"/>
          <w14:ligatures w14:val="none"/>
        </w:rPr>
        <w:t>, P., V</w:t>
      </w:r>
      <w:r w:rsidR="00843A84" w:rsidRPr="00D44E2B">
        <w:rPr>
          <w:rFonts w:ascii="Calibri" w:hAnsi="Calibri" w:cs="Calibri"/>
          <w:kern w:val="0"/>
          <w:sz w:val="24"/>
          <w:szCs w:val="24"/>
          <w14:ligatures w14:val="none"/>
        </w:rPr>
        <w:t>argas</w:t>
      </w:r>
      <w:r w:rsidRPr="00D44E2B">
        <w:rPr>
          <w:rFonts w:ascii="Calibri" w:hAnsi="Calibri" w:cs="Calibri"/>
          <w:kern w:val="0"/>
          <w:sz w:val="24"/>
          <w:szCs w:val="24"/>
          <w14:ligatures w14:val="none"/>
        </w:rPr>
        <w:t xml:space="preserve"> M</w:t>
      </w:r>
      <w:r w:rsidR="00843A84" w:rsidRPr="00D44E2B">
        <w:rPr>
          <w:rFonts w:ascii="Calibri" w:hAnsi="Calibri" w:cs="Calibri"/>
          <w:kern w:val="0"/>
          <w:sz w:val="24"/>
          <w:szCs w:val="24"/>
          <w14:ligatures w14:val="none"/>
        </w:rPr>
        <w:t>artínez</w:t>
      </w:r>
      <w:r w:rsidRPr="00D44E2B">
        <w:rPr>
          <w:rFonts w:ascii="Calibri" w:hAnsi="Calibri" w:cs="Calibri"/>
          <w:kern w:val="0"/>
          <w:sz w:val="24"/>
          <w:szCs w:val="24"/>
          <w14:ligatures w14:val="none"/>
        </w:rPr>
        <w:t>, E. y G</w:t>
      </w:r>
      <w:r w:rsidR="00843A84" w:rsidRPr="00D44E2B">
        <w:rPr>
          <w:rFonts w:ascii="Calibri" w:hAnsi="Calibri" w:cs="Calibri"/>
          <w:kern w:val="0"/>
          <w:sz w:val="24"/>
          <w:szCs w:val="24"/>
          <w14:ligatures w14:val="none"/>
        </w:rPr>
        <w:t>ómez</w:t>
      </w:r>
      <w:r w:rsidRPr="00D44E2B">
        <w:rPr>
          <w:rFonts w:ascii="Calibri" w:hAnsi="Calibri" w:cs="Calibri"/>
          <w:kern w:val="0"/>
          <w:sz w:val="24"/>
          <w:szCs w:val="24"/>
          <w14:ligatures w14:val="none"/>
        </w:rPr>
        <w:t xml:space="preserve"> D</w:t>
      </w:r>
      <w:r w:rsidR="00843A84" w:rsidRPr="00D44E2B">
        <w:rPr>
          <w:rFonts w:ascii="Calibri" w:hAnsi="Calibri" w:cs="Calibri"/>
          <w:kern w:val="0"/>
          <w:sz w:val="24"/>
          <w:szCs w:val="24"/>
          <w14:ligatures w14:val="none"/>
        </w:rPr>
        <w:t>íaz</w:t>
      </w:r>
      <w:r w:rsidRPr="00D44E2B">
        <w:rPr>
          <w:rFonts w:ascii="Calibri" w:hAnsi="Calibri" w:cs="Calibri"/>
          <w:kern w:val="0"/>
          <w:sz w:val="24"/>
          <w:szCs w:val="24"/>
          <w14:ligatures w14:val="none"/>
        </w:rPr>
        <w:t>, M. (2017)</w:t>
      </w:r>
      <w:r w:rsidR="00843A84">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El valor explicativo del turismo en las actividades con mayor contribución en el crecimiento económico de los municipios del Estado de México</w:t>
      </w:r>
      <w:r w:rsidR="00843A84">
        <w:rPr>
          <w:rFonts w:ascii="Calibri" w:hAnsi="Calibri" w:cs="Calibri"/>
          <w:kern w:val="0"/>
          <w:sz w:val="24"/>
          <w:szCs w:val="24"/>
          <w14:ligatures w14:val="none"/>
        </w:rPr>
        <w:t>.</w:t>
      </w:r>
      <w:r w:rsidRPr="00D44E2B">
        <w:rPr>
          <w:rFonts w:ascii="Calibri" w:hAnsi="Calibri" w:cs="Calibri"/>
          <w:kern w:val="0"/>
          <w:sz w:val="24"/>
          <w:szCs w:val="24"/>
          <w14:ligatures w14:val="none"/>
        </w:rPr>
        <w:t xml:space="preserve"> </w:t>
      </w:r>
      <w:r w:rsidRPr="00D44E2B">
        <w:rPr>
          <w:rFonts w:ascii="Calibri" w:hAnsi="Calibri" w:cs="Calibri"/>
          <w:i/>
          <w:iCs/>
          <w:kern w:val="0"/>
          <w:sz w:val="24"/>
          <w:szCs w:val="24"/>
          <w14:ligatures w14:val="none"/>
        </w:rPr>
        <w:t xml:space="preserve">El Periplo Sustentable: Revista de Turismo, Desarrollo y Competitividad, </w:t>
      </w:r>
      <w:r w:rsidRPr="00D44E2B">
        <w:rPr>
          <w:rFonts w:ascii="Calibri" w:hAnsi="Calibri" w:cs="Calibri"/>
          <w:kern w:val="0"/>
          <w:sz w:val="24"/>
          <w:szCs w:val="24"/>
          <w14:ligatures w14:val="none"/>
        </w:rPr>
        <w:t xml:space="preserve">33, 132-158. </w:t>
      </w:r>
      <w:hyperlink r:id="rId44">
        <w:r w:rsidRPr="00D44E2B">
          <w:rPr>
            <w:rFonts w:ascii="Calibri" w:hAnsi="Calibri" w:cs="Calibri"/>
            <w:color w:val="467886" w:themeColor="hyperlink"/>
            <w:kern w:val="0"/>
            <w:sz w:val="24"/>
            <w:szCs w:val="24"/>
            <w:u w:val="single"/>
            <w14:ligatures w14:val="none"/>
          </w:rPr>
          <w:t>https://rperiplo.uaemex.mx/article/view/4854</w:t>
        </w:r>
      </w:hyperlink>
    </w:p>
    <w:p w14:paraId="3CA3F10E" w14:textId="6F3BB585" w:rsidR="0049583F" w:rsidRPr="000840CC" w:rsidRDefault="00060872" w:rsidP="003D0615">
      <w:pPr>
        <w:suppressAutoHyphens/>
        <w:spacing w:line="240" w:lineRule="auto"/>
        <w:ind w:left="709" w:hanging="709"/>
        <w:jc w:val="both"/>
        <w:rPr>
          <w:rFonts w:ascii="Calibri" w:hAnsi="Calibri" w:cs="Calibri"/>
          <w:kern w:val="0"/>
          <w:sz w:val="24"/>
          <w:szCs w:val="24"/>
          <w:lang w:val="en-US"/>
          <w14:ligatures w14:val="none"/>
        </w:rPr>
      </w:pPr>
      <w:bookmarkStart w:id="4" w:name="_Hlk107319299"/>
      <w:r>
        <w:rPr>
          <w:rFonts w:ascii="Calibri" w:hAnsi="Calibri" w:cs="Calibri"/>
          <w:kern w:val="0"/>
          <w:sz w:val="24"/>
          <w:szCs w:val="24"/>
          <w14:ligatures w14:val="none"/>
        </w:rPr>
        <w:lastRenderedPageBreak/>
        <w:t>OMT</w:t>
      </w:r>
      <w:r w:rsidR="00843A84">
        <w:rPr>
          <w:rFonts w:ascii="Calibri" w:hAnsi="Calibri" w:cs="Calibri"/>
          <w:kern w:val="0"/>
          <w:sz w:val="24"/>
          <w:szCs w:val="24"/>
          <w14:ligatures w14:val="none"/>
        </w:rPr>
        <w:t>.</w:t>
      </w:r>
      <w:r w:rsidR="00843A84" w:rsidRPr="00D44E2B">
        <w:rPr>
          <w:rFonts w:ascii="Calibri" w:hAnsi="Calibri" w:cs="Calibri"/>
          <w:kern w:val="0"/>
          <w:sz w:val="24"/>
          <w:szCs w:val="24"/>
          <w14:ligatures w14:val="none"/>
        </w:rPr>
        <w:t xml:space="preserve"> </w:t>
      </w:r>
      <w:r w:rsidR="0049583F" w:rsidRPr="00D44E2B">
        <w:rPr>
          <w:rFonts w:ascii="Calibri" w:hAnsi="Calibri" w:cs="Calibri"/>
          <w:kern w:val="0"/>
          <w:sz w:val="24"/>
          <w:szCs w:val="24"/>
          <w14:ligatures w14:val="none"/>
        </w:rPr>
        <w:t xml:space="preserve">(2020). </w:t>
      </w:r>
      <w:r w:rsidR="0049583F" w:rsidRPr="00D44E2B">
        <w:rPr>
          <w:rFonts w:ascii="Calibri" w:hAnsi="Calibri" w:cs="Calibri"/>
          <w:i/>
          <w:iCs/>
          <w:kern w:val="0"/>
          <w:sz w:val="24"/>
          <w:szCs w:val="24"/>
          <w14:ligatures w14:val="none"/>
        </w:rPr>
        <w:t>Organismo especializado de las Naciones Unidas. Las cifras de turistas internacionales caen un 65% en la primera mitad de 2020 informa a OMT</w:t>
      </w:r>
      <w:r w:rsidR="0049583F" w:rsidRPr="00D44E2B">
        <w:rPr>
          <w:rFonts w:ascii="Calibri" w:hAnsi="Calibri" w:cs="Calibri"/>
          <w:kern w:val="0"/>
          <w:sz w:val="24"/>
          <w:szCs w:val="24"/>
          <w14:ligatures w14:val="none"/>
        </w:rPr>
        <w:t xml:space="preserve">. </w:t>
      </w:r>
      <w:hyperlink r:id="rId45">
        <w:r w:rsidR="0049583F" w:rsidRPr="000840CC">
          <w:rPr>
            <w:rFonts w:ascii="Calibri" w:hAnsi="Calibri" w:cs="Calibri"/>
            <w:color w:val="0000FF"/>
            <w:kern w:val="0"/>
            <w:sz w:val="24"/>
            <w:szCs w:val="24"/>
            <w:u w:val="single"/>
            <w:lang w:val="en-US"/>
            <w14:ligatures w14:val="none"/>
          </w:rPr>
          <w:t>https://www.unwto.org/es/taxonomy/term/347</w:t>
        </w:r>
      </w:hyperlink>
      <w:r w:rsidR="0049583F" w:rsidRPr="000840CC">
        <w:rPr>
          <w:rFonts w:ascii="Calibri" w:hAnsi="Calibri" w:cs="Calibri"/>
          <w:kern w:val="0"/>
          <w:sz w:val="24"/>
          <w:szCs w:val="24"/>
          <w:lang w:val="en-US"/>
          <w14:ligatures w14:val="none"/>
        </w:rPr>
        <w:t xml:space="preserve">. </w:t>
      </w:r>
      <w:bookmarkEnd w:id="4"/>
    </w:p>
    <w:p w14:paraId="6A674796" w14:textId="6A5E1B90" w:rsidR="009271C4" w:rsidRPr="007056C1" w:rsidRDefault="009271C4" w:rsidP="003D0615">
      <w:pPr>
        <w:suppressAutoHyphens/>
        <w:spacing w:line="240" w:lineRule="auto"/>
        <w:ind w:left="709" w:hanging="709"/>
        <w:jc w:val="both"/>
        <w:rPr>
          <w:rFonts w:ascii="Calibri" w:hAnsi="Calibri" w:cs="Calibri"/>
          <w:kern w:val="0"/>
          <w:sz w:val="24"/>
          <w:szCs w:val="24"/>
          <w14:ligatures w14:val="none"/>
        </w:rPr>
      </w:pPr>
      <w:r w:rsidRPr="000840CC">
        <w:rPr>
          <w:rFonts w:ascii="Calibri" w:hAnsi="Calibri" w:cs="Calibri"/>
          <w:kern w:val="0"/>
          <w:sz w:val="24"/>
          <w:szCs w:val="24"/>
          <w:lang w:val="en-US"/>
          <w14:ligatures w14:val="none"/>
        </w:rPr>
        <w:t>Paci, R</w:t>
      </w:r>
      <w:r w:rsidR="001450C7">
        <w:rPr>
          <w:rFonts w:ascii="Calibri" w:hAnsi="Calibri" w:cs="Calibri"/>
          <w:kern w:val="0"/>
          <w:sz w:val="24"/>
          <w:szCs w:val="24"/>
          <w:lang w:val="en-US"/>
          <w14:ligatures w14:val="none"/>
        </w:rPr>
        <w:t>.</w:t>
      </w:r>
      <w:r w:rsidRPr="000840CC">
        <w:rPr>
          <w:rFonts w:ascii="Calibri" w:hAnsi="Calibri" w:cs="Calibri"/>
          <w:kern w:val="0"/>
          <w:sz w:val="24"/>
          <w:szCs w:val="24"/>
          <w:lang w:val="en-US"/>
          <w14:ligatures w14:val="none"/>
        </w:rPr>
        <w:t xml:space="preserve"> </w:t>
      </w:r>
      <w:r w:rsidR="001450C7">
        <w:rPr>
          <w:rFonts w:ascii="Calibri" w:hAnsi="Calibri" w:cs="Calibri"/>
          <w:kern w:val="0"/>
          <w:sz w:val="24"/>
          <w:szCs w:val="24"/>
          <w:lang w:val="en-US"/>
          <w14:ligatures w14:val="none"/>
        </w:rPr>
        <w:t>&amp;</w:t>
      </w:r>
      <w:r w:rsidRPr="000840CC">
        <w:rPr>
          <w:rFonts w:ascii="Calibri" w:hAnsi="Calibri" w:cs="Calibri"/>
          <w:kern w:val="0"/>
          <w:sz w:val="24"/>
          <w:szCs w:val="24"/>
          <w:lang w:val="en-US"/>
          <w14:ligatures w14:val="none"/>
        </w:rPr>
        <w:t xml:space="preserve"> </w:t>
      </w:r>
      <w:proofErr w:type="spellStart"/>
      <w:r w:rsidRPr="000840CC">
        <w:rPr>
          <w:rFonts w:ascii="Calibri" w:hAnsi="Calibri" w:cs="Calibri"/>
          <w:kern w:val="0"/>
          <w:sz w:val="24"/>
          <w:szCs w:val="24"/>
          <w:lang w:val="en-US"/>
          <w14:ligatures w14:val="none"/>
        </w:rPr>
        <w:t>Marrocu</w:t>
      </w:r>
      <w:proofErr w:type="spellEnd"/>
      <w:r w:rsidRPr="000840CC">
        <w:rPr>
          <w:rFonts w:ascii="Calibri" w:hAnsi="Calibri" w:cs="Calibri"/>
          <w:kern w:val="0"/>
          <w:sz w:val="24"/>
          <w:szCs w:val="24"/>
          <w:lang w:val="en-US"/>
          <w14:ligatures w14:val="none"/>
        </w:rPr>
        <w:t>, E</w:t>
      </w:r>
      <w:r w:rsidR="001450C7">
        <w:rPr>
          <w:rFonts w:ascii="Calibri" w:hAnsi="Calibri" w:cs="Calibri"/>
          <w:kern w:val="0"/>
          <w:sz w:val="24"/>
          <w:szCs w:val="24"/>
          <w:lang w:val="en-US"/>
          <w14:ligatures w14:val="none"/>
        </w:rPr>
        <w:t>.</w:t>
      </w:r>
      <w:r w:rsidRPr="000840CC">
        <w:rPr>
          <w:rFonts w:ascii="Calibri" w:hAnsi="Calibri" w:cs="Calibri"/>
          <w:kern w:val="0"/>
          <w:sz w:val="24"/>
          <w:szCs w:val="24"/>
          <w:lang w:val="en-US"/>
          <w14:ligatures w14:val="none"/>
        </w:rPr>
        <w:t xml:space="preserve"> (</w:t>
      </w:r>
      <w:r w:rsidRPr="001450C7">
        <w:rPr>
          <w:rFonts w:ascii="Calibri" w:hAnsi="Calibri" w:cs="Calibri"/>
          <w:kern w:val="0"/>
          <w:sz w:val="24"/>
          <w:szCs w:val="24"/>
          <w:lang w:val="en-US"/>
          <w14:ligatures w14:val="none"/>
        </w:rPr>
        <w:t>2013</w:t>
      </w:r>
      <w:r w:rsidRPr="000840CC">
        <w:rPr>
          <w:rFonts w:ascii="Calibri" w:hAnsi="Calibri" w:cs="Calibri"/>
          <w:kern w:val="0"/>
          <w:sz w:val="24"/>
          <w:szCs w:val="24"/>
          <w:lang w:val="en-US"/>
          <w14:ligatures w14:val="none"/>
        </w:rPr>
        <w:t xml:space="preserve">). </w:t>
      </w:r>
      <w:r w:rsidRPr="00E44A08">
        <w:rPr>
          <w:rFonts w:ascii="Calibri" w:hAnsi="Calibri" w:cs="Calibri"/>
          <w:i/>
          <w:iCs/>
          <w:kern w:val="0"/>
          <w:sz w:val="24"/>
          <w:szCs w:val="24"/>
          <w:lang w:val="en-US"/>
          <w14:ligatures w14:val="none"/>
        </w:rPr>
        <w:t>Tourism and Regional Growth in Europe</w:t>
      </w:r>
      <w:r>
        <w:rPr>
          <w:rFonts w:ascii="Calibri" w:hAnsi="Calibri" w:cs="Calibri"/>
          <w:i/>
          <w:iCs/>
          <w:kern w:val="0"/>
          <w:sz w:val="24"/>
          <w:szCs w:val="24"/>
          <w:lang w:val="en-US"/>
          <w14:ligatures w14:val="none"/>
        </w:rPr>
        <w:t>.</w:t>
      </w:r>
      <w:r w:rsidRPr="00E44A08">
        <w:rPr>
          <w:rFonts w:ascii="Calibri" w:hAnsi="Calibri" w:cs="Calibri"/>
          <w:kern w:val="0"/>
          <w:sz w:val="24"/>
          <w:szCs w:val="24"/>
          <w:lang w:val="en-US"/>
          <w14:ligatures w14:val="none"/>
        </w:rPr>
        <w:t xml:space="preserve"> </w:t>
      </w:r>
      <w:hyperlink r:id="rId46">
        <w:r w:rsidRPr="007056C1">
          <w:rPr>
            <w:rFonts w:ascii="Calibri" w:hAnsi="Calibri" w:cs="Calibri"/>
            <w:color w:val="467886" w:themeColor="hyperlink"/>
            <w:kern w:val="0"/>
            <w:sz w:val="24"/>
            <w:szCs w:val="24"/>
            <w:u w:val="single"/>
            <w14:ligatures w14:val="none"/>
          </w:rPr>
          <w:t>http://dx.doi.org/10.2139/ssrn.2273457</w:t>
        </w:r>
      </w:hyperlink>
    </w:p>
    <w:p w14:paraId="786369F8" w14:textId="09CDB189" w:rsidR="0049583F" w:rsidRPr="000840CC" w:rsidRDefault="0049583F" w:rsidP="003D0615">
      <w:pPr>
        <w:suppressAutoHyphens/>
        <w:spacing w:line="240" w:lineRule="auto"/>
        <w:ind w:left="709" w:hanging="709"/>
        <w:jc w:val="both"/>
      </w:pPr>
      <w:r w:rsidRPr="00D44E2B">
        <w:rPr>
          <w:rFonts w:ascii="Calibri" w:hAnsi="Calibri" w:cs="Calibri"/>
          <w:kern w:val="0"/>
          <w:sz w:val="24"/>
          <w:szCs w:val="24"/>
          <w14:ligatures w14:val="none"/>
        </w:rPr>
        <w:t>P</w:t>
      </w:r>
      <w:r w:rsidR="00843A84" w:rsidRPr="00D44E2B">
        <w:rPr>
          <w:rFonts w:ascii="Calibri" w:hAnsi="Calibri" w:cs="Calibri"/>
          <w:kern w:val="0"/>
          <w:sz w:val="24"/>
          <w:szCs w:val="24"/>
          <w14:ligatures w14:val="none"/>
        </w:rPr>
        <w:t>orto</w:t>
      </w:r>
      <w:r w:rsidRPr="00D44E2B">
        <w:rPr>
          <w:rFonts w:ascii="Calibri" w:hAnsi="Calibri" w:cs="Calibri"/>
          <w:kern w:val="0"/>
          <w:sz w:val="24"/>
          <w:szCs w:val="24"/>
          <w14:ligatures w14:val="none"/>
        </w:rPr>
        <w:t xml:space="preserve">, N., </w:t>
      </w:r>
      <w:proofErr w:type="spellStart"/>
      <w:r w:rsidRPr="00D44E2B">
        <w:rPr>
          <w:rFonts w:ascii="Calibri" w:hAnsi="Calibri" w:cs="Calibri"/>
          <w:kern w:val="0"/>
          <w:sz w:val="24"/>
          <w:szCs w:val="24"/>
          <w14:ligatures w14:val="none"/>
        </w:rPr>
        <w:t>R</w:t>
      </w:r>
      <w:r w:rsidR="00843A84" w:rsidRPr="00D44E2B">
        <w:rPr>
          <w:rFonts w:ascii="Calibri" w:hAnsi="Calibri" w:cs="Calibri"/>
          <w:kern w:val="0"/>
          <w:sz w:val="24"/>
          <w:szCs w:val="24"/>
          <w14:ligatures w14:val="none"/>
        </w:rPr>
        <w:t>ucci</w:t>
      </w:r>
      <w:proofErr w:type="spellEnd"/>
      <w:r w:rsidRPr="00D44E2B">
        <w:rPr>
          <w:rFonts w:ascii="Calibri" w:hAnsi="Calibri" w:cs="Calibri"/>
          <w:kern w:val="0"/>
          <w:sz w:val="24"/>
          <w:szCs w:val="24"/>
          <w14:ligatures w14:val="none"/>
        </w:rPr>
        <w:t xml:space="preserve">, A. C. y </w:t>
      </w:r>
      <w:proofErr w:type="spellStart"/>
      <w:r w:rsidRPr="00D44E2B">
        <w:rPr>
          <w:rFonts w:ascii="Calibri" w:hAnsi="Calibri" w:cs="Calibri"/>
          <w:kern w:val="0"/>
          <w:sz w:val="24"/>
          <w:szCs w:val="24"/>
          <w14:ligatures w14:val="none"/>
        </w:rPr>
        <w:t>C</w:t>
      </w:r>
      <w:r w:rsidR="00843A84" w:rsidRPr="00D44E2B">
        <w:rPr>
          <w:rFonts w:ascii="Calibri" w:hAnsi="Calibri" w:cs="Calibri"/>
          <w:kern w:val="0"/>
          <w:sz w:val="24"/>
          <w:szCs w:val="24"/>
          <w14:ligatures w14:val="none"/>
        </w:rPr>
        <w:t>iaschi</w:t>
      </w:r>
      <w:proofErr w:type="spellEnd"/>
      <w:r w:rsidRPr="00D44E2B">
        <w:rPr>
          <w:rFonts w:ascii="Calibri" w:hAnsi="Calibri" w:cs="Calibri"/>
          <w:kern w:val="0"/>
          <w:sz w:val="24"/>
          <w:szCs w:val="24"/>
          <w14:ligatures w14:val="none"/>
        </w:rPr>
        <w:t>, M. (2017)</w:t>
      </w:r>
      <w:r w:rsidR="00843A84">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Especialización turística y accesibilidad en sitios patrimoniales del Mercosur</w:t>
      </w:r>
      <w:r w:rsidR="00843A84">
        <w:rPr>
          <w:rFonts w:ascii="Calibri" w:hAnsi="Calibri" w:cs="Calibri"/>
          <w:kern w:val="0"/>
          <w:sz w:val="24"/>
          <w:szCs w:val="24"/>
          <w14:ligatures w14:val="none"/>
        </w:rPr>
        <w:t>.</w:t>
      </w:r>
      <w:r w:rsidRPr="00D44E2B">
        <w:rPr>
          <w:rFonts w:ascii="Calibri" w:hAnsi="Calibri" w:cs="Calibri"/>
          <w:kern w:val="0"/>
          <w:sz w:val="24"/>
          <w:szCs w:val="24"/>
          <w14:ligatures w14:val="none"/>
        </w:rPr>
        <w:t xml:space="preserve"> </w:t>
      </w:r>
      <w:proofErr w:type="spellStart"/>
      <w:r w:rsidRPr="000840CC">
        <w:rPr>
          <w:rFonts w:ascii="Calibri" w:hAnsi="Calibri" w:cs="Calibri"/>
          <w:i/>
          <w:iCs/>
          <w:kern w:val="0"/>
          <w:sz w:val="24"/>
          <w:szCs w:val="24"/>
          <w:lang w:val="pt-BR"/>
          <w14:ligatures w14:val="none"/>
        </w:rPr>
        <w:t>Transitare</w:t>
      </w:r>
      <w:proofErr w:type="spellEnd"/>
      <w:r w:rsidRPr="000840CC">
        <w:rPr>
          <w:rFonts w:ascii="Calibri" w:hAnsi="Calibri" w:cs="Calibri"/>
          <w:kern w:val="0"/>
          <w:sz w:val="24"/>
          <w:szCs w:val="24"/>
          <w:lang w:val="pt-BR"/>
          <w14:ligatures w14:val="none"/>
        </w:rPr>
        <w:t xml:space="preserve">, 3(1), 1-31. </w:t>
      </w:r>
      <w:hyperlink r:id="rId47">
        <w:r w:rsidRPr="000840CC">
          <w:rPr>
            <w:rFonts w:ascii="Calibri" w:hAnsi="Calibri" w:cs="Calibri"/>
            <w:color w:val="467886" w:themeColor="hyperlink"/>
            <w:kern w:val="0"/>
            <w:sz w:val="24"/>
            <w:szCs w:val="24"/>
            <w:u w:val="single"/>
            <w14:ligatures w14:val="none"/>
          </w:rPr>
          <w:t>http://transitare.anahuacoaxaca.edu.mx/index.php/Transitare/article/view/35/20</w:t>
        </w:r>
      </w:hyperlink>
    </w:p>
    <w:p w14:paraId="2C81E403" w14:textId="77777777" w:rsidR="000A1FC9" w:rsidRPr="000A1FC9" w:rsidRDefault="000A1FC9" w:rsidP="003D0615">
      <w:pPr>
        <w:suppressAutoHyphens/>
        <w:spacing w:line="240" w:lineRule="auto"/>
        <w:ind w:left="709" w:hanging="709"/>
        <w:jc w:val="both"/>
        <w:rPr>
          <w:rStyle w:val="Hipervnculo"/>
          <w:rFonts w:ascii="Calibri" w:hAnsi="Calibri" w:cs="Calibri"/>
          <w:kern w:val="0"/>
          <w:sz w:val="24"/>
          <w:szCs w:val="24"/>
          <w14:ligatures w14:val="none"/>
        </w:rPr>
      </w:pPr>
      <w:r w:rsidRPr="00D44E2B">
        <w:rPr>
          <w:rFonts w:ascii="Calibri" w:hAnsi="Calibri" w:cs="Calibri"/>
          <w:color w:val="000000" w:themeColor="text1"/>
          <w:kern w:val="0"/>
          <w:sz w:val="24"/>
          <w:szCs w:val="24"/>
          <w:lang w:val="es-ES"/>
          <w14:ligatures w14:val="none"/>
        </w:rPr>
        <w:t>R</w:t>
      </w:r>
      <w:r>
        <w:rPr>
          <w:rFonts w:ascii="Calibri" w:hAnsi="Calibri" w:cs="Calibri"/>
          <w:color w:val="000000" w:themeColor="text1"/>
          <w:kern w:val="0"/>
          <w:sz w:val="24"/>
          <w:szCs w:val="24"/>
          <w:lang w:val="es-ES"/>
          <w14:ligatures w14:val="none"/>
        </w:rPr>
        <w:t xml:space="preserve">amsar. </w:t>
      </w:r>
      <w:r w:rsidRPr="00D44E2B">
        <w:rPr>
          <w:rFonts w:ascii="Calibri" w:hAnsi="Calibri" w:cs="Calibri"/>
          <w:color w:val="000000" w:themeColor="text1"/>
          <w:kern w:val="0"/>
          <w:sz w:val="24"/>
          <w:szCs w:val="24"/>
          <w:lang w:val="es-ES"/>
          <w14:ligatures w14:val="none"/>
        </w:rPr>
        <w:t>(2023)</w:t>
      </w:r>
      <w:r>
        <w:rPr>
          <w:rFonts w:ascii="Calibri" w:hAnsi="Calibri" w:cs="Calibri"/>
          <w:color w:val="000000" w:themeColor="text1"/>
          <w:kern w:val="0"/>
          <w:sz w:val="24"/>
          <w:szCs w:val="24"/>
          <w:lang w:val="es-ES"/>
          <w14:ligatures w14:val="none"/>
        </w:rPr>
        <w:t xml:space="preserve">. </w:t>
      </w:r>
      <w:r w:rsidRPr="00D44E2B">
        <w:rPr>
          <w:rFonts w:ascii="Calibri" w:hAnsi="Calibri" w:cs="Calibri"/>
          <w:color w:val="000000" w:themeColor="text1"/>
          <w:kern w:val="0"/>
          <w:sz w:val="24"/>
          <w:szCs w:val="24"/>
          <w:lang w:val="es-ES"/>
          <w14:ligatures w14:val="none"/>
        </w:rPr>
        <w:t xml:space="preserve">Servicio de información sobre sitios Ramsar. </w:t>
      </w:r>
      <w:hyperlink r:id="rId48" w:history="1">
        <w:r w:rsidRPr="000A1FC9">
          <w:rPr>
            <w:rStyle w:val="Hipervnculo"/>
            <w:rFonts w:ascii="Calibri" w:hAnsi="Calibri" w:cs="Calibri"/>
            <w:kern w:val="0"/>
            <w:sz w:val="24"/>
            <w:szCs w:val="24"/>
            <w14:ligatures w14:val="none"/>
          </w:rPr>
          <w:t>https://rsis.ramsar.org/es/ris/1813</w:t>
        </w:r>
      </w:hyperlink>
    </w:p>
    <w:p w14:paraId="1C7F2FC6" w14:textId="77777777" w:rsidR="000A1FC9" w:rsidRPr="00D44E2B" w:rsidRDefault="000A1FC9" w:rsidP="003D0615">
      <w:pPr>
        <w:suppressAutoHyphens/>
        <w:spacing w:line="240" w:lineRule="auto"/>
        <w:ind w:left="709" w:hanging="709"/>
        <w:jc w:val="both"/>
        <w:rPr>
          <w:rFonts w:ascii="Calibri" w:hAnsi="Calibri" w:cs="Calibri"/>
          <w:color w:val="467886" w:themeColor="hyperlink"/>
          <w:kern w:val="0"/>
          <w:sz w:val="24"/>
          <w:szCs w:val="24"/>
          <w:u w:val="single"/>
          <w:lang w:val="es-ES"/>
          <w14:ligatures w14:val="none"/>
        </w:rPr>
      </w:pPr>
      <w:r w:rsidRPr="00D44E2B">
        <w:rPr>
          <w:rFonts w:ascii="Calibri" w:hAnsi="Calibri" w:cs="Calibri"/>
          <w:kern w:val="0"/>
          <w:sz w:val="24"/>
          <w:szCs w:val="24"/>
          <w:lang w:val="es-ES"/>
          <w14:ligatures w14:val="none"/>
        </w:rPr>
        <w:t xml:space="preserve">Reserva </w:t>
      </w:r>
      <w:r>
        <w:rPr>
          <w:rFonts w:ascii="Calibri" w:hAnsi="Calibri" w:cs="Calibri"/>
          <w:kern w:val="0"/>
          <w:sz w:val="24"/>
          <w:szCs w:val="24"/>
          <w:lang w:val="es-ES"/>
          <w14:ligatures w14:val="none"/>
        </w:rPr>
        <w:t>d</w:t>
      </w:r>
      <w:r w:rsidRPr="00D44E2B">
        <w:rPr>
          <w:rFonts w:ascii="Calibri" w:hAnsi="Calibri" w:cs="Calibri"/>
          <w:kern w:val="0"/>
          <w:sz w:val="24"/>
          <w:szCs w:val="24"/>
          <w:lang w:val="es-ES"/>
          <w14:ligatures w14:val="none"/>
        </w:rPr>
        <w:t xml:space="preserve">e </w:t>
      </w:r>
      <w:r>
        <w:rPr>
          <w:rFonts w:ascii="Calibri" w:hAnsi="Calibri" w:cs="Calibri"/>
          <w:kern w:val="0"/>
          <w:sz w:val="24"/>
          <w:szCs w:val="24"/>
          <w:lang w:val="es-ES"/>
          <w14:ligatures w14:val="none"/>
        </w:rPr>
        <w:t>l</w:t>
      </w:r>
      <w:r w:rsidRPr="00D44E2B">
        <w:rPr>
          <w:rFonts w:ascii="Calibri" w:hAnsi="Calibri" w:cs="Calibri"/>
          <w:kern w:val="0"/>
          <w:sz w:val="24"/>
          <w:szCs w:val="24"/>
          <w:lang w:val="es-ES"/>
          <w14:ligatures w14:val="none"/>
        </w:rPr>
        <w:t xml:space="preserve">a Biosfera El Pinacate </w:t>
      </w:r>
      <w:r>
        <w:rPr>
          <w:rFonts w:ascii="Calibri" w:hAnsi="Calibri" w:cs="Calibri"/>
          <w:kern w:val="0"/>
          <w:sz w:val="24"/>
          <w:szCs w:val="24"/>
          <w:lang w:val="es-ES"/>
          <w14:ligatures w14:val="none"/>
        </w:rPr>
        <w:t>y</w:t>
      </w:r>
      <w:r w:rsidRPr="00D44E2B">
        <w:rPr>
          <w:rFonts w:ascii="Calibri" w:hAnsi="Calibri" w:cs="Calibri"/>
          <w:kern w:val="0"/>
          <w:sz w:val="24"/>
          <w:szCs w:val="24"/>
          <w:lang w:val="es-ES"/>
          <w14:ligatures w14:val="none"/>
        </w:rPr>
        <w:t xml:space="preserve"> Gran Desierto </w:t>
      </w:r>
      <w:r>
        <w:rPr>
          <w:rFonts w:ascii="Calibri" w:hAnsi="Calibri" w:cs="Calibri"/>
          <w:kern w:val="0"/>
          <w:sz w:val="24"/>
          <w:szCs w:val="24"/>
          <w:lang w:val="es-ES"/>
          <w14:ligatures w14:val="none"/>
        </w:rPr>
        <w:t>d</w:t>
      </w:r>
      <w:r w:rsidRPr="00D44E2B">
        <w:rPr>
          <w:rFonts w:ascii="Calibri" w:hAnsi="Calibri" w:cs="Calibri"/>
          <w:kern w:val="0"/>
          <w:sz w:val="24"/>
          <w:szCs w:val="24"/>
          <w:lang w:val="es-ES"/>
          <w14:ligatures w14:val="none"/>
        </w:rPr>
        <w:t xml:space="preserve">e Altar. Museo </w:t>
      </w:r>
      <w:r>
        <w:rPr>
          <w:rFonts w:ascii="Calibri" w:hAnsi="Calibri" w:cs="Calibri"/>
          <w:kern w:val="0"/>
          <w:sz w:val="24"/>
          <w:szCs w:val="24"/>
          <w:lang w:val="es-ES"/>
          <w14:ligatures w14:val="none"/>
        </w:rPr>
        <w:t>y</w:t>
      </w:r>
      <w:r w:rsidRPr="00D44E2B">
        <w:rPr>
          <w:rFonts w:ascii="Calibri" w:hAnsi="Calibri" w:cs="Calibri"/>
          <w:kern w:val="0"/>
          <w:sz w:val="24"/>
          <w:szCs w:val="24"/>
          <w:lang w:val="es-ES"/>
          <w14:ligatures w14:val="none"/>
        </w:rPr>
        <w:t xml:space="preserve"> Centro </w:t>
      </w:r>
      <w:r>
        <w:rPr>
          <w:rFonts w:ascii="Calibri" w:hAnsi="Calibri" w:cs="Calibri"/>
          <w:kern w:val="0"/>
          <w:sz w:val="24"/>
          <w:szCs w:val="24"/>
          <w:lang w:val="es-ES"/>
          <w14:ligatures w14:val="none"/>
        </w:rPr>
        <w:t>d</w:t>
      </w:r>
      <w:r w:rsidRPr="00D44E2B">
        <w:rPr>
          <w:rFonts w:ascii="Calibri" w:hAnsi="Calibri" w:cs="Calibri"/>
          <w:kern w:val="0"/>
          <w:sz w:val="24"/>
          <w:szCs w:val="24"/>
          <w:lang w:val="es-ES"/>
          <w14:ligatures w14:val="none"/>
        </w:rPr>
        <w:t xml:space="preserve">e Visitantes </w:t>
      </w:r>
      <w:proofErr w:type="spellStart"/>
      <w:r w:rsidRPr="00D44E2B">
        <w:rPr>
          <w:rFonts w:ascii="Calibri" w:hAnsi="Calibri" w:cs="Calibri"/>
          <w:kern w:val="0"/>
          <w:sz w:val="24"/>
          <w:szCs w:val="24"/>
          <w:lang w:val="es-ES"/>
          <w14:ligatures w14:val="none"/>
        </w:rPr>
        <w:t>Schuk</w:t>
      </w:r>
      <w:proofErr w:type="spellEnd"/>
      <w:r w:rsidRPr="00D44E2B">
        <w:rPr>
          <w:rFonts w:ascii="Calibri" w:hAnsi="Calibri" w:cs="Calibri"/>
          <w:kern w:val="0"/>
          <w:sz w:val="24"/>
          <w:szCs w:val="24"/>
          <w:lang w:val="es-ES"/>
          <w14:ligatures w14:val="none"/>
        </w:rPr>
        <w:t xml:space="preserve"> </w:t>
      </w:r>
      <w:proofErr w:type="spellStart"/>
      <w:r w:rsidRPr="00D44E2B">
        <w:rPr>
          <w:rFonts w:ascii="Calibri" w:hAnsi="Calibri" w:cs="Calibri"/>
          <w:kern w:val="0"/>
          <w:sz w:val="24"/>
          <w:szCs w:val="24"/>
          <w:lang w:val="es-ES"/>
          <w14:ligatures w14:val="none"/>
        </w:rPr>
        <w:t>Toak</w:t>
      </w:r>
      <w:proofErr w:type="spellEnd"/>
      <w:r w:rsidRPr="00D44E2B">
        <w:rPr>
          <w:rFonts w:ascii="Calibri" w:hAnsi="Calibri" w:cs="Calibri"/>
          <w:kern w:val="0"/>
          <w:sz w:val="24"/>
          <w:szCs w:val="24"/>
          <w:lang w:val="es-ES"/>
          <w14:ligatures w14:val="none"/>
        </w:rPr>
        <w:t xml:space="preserve">. (2023). </w:t>
      </w:r>
      <w:hyperlink r:id="rId49">
        <w:r w:rsidRPr="00D44E2B">
          <w:rPr>
            <w:rFonts w:ascii="Calibri" w:hAnsi="Calibri" w:cs="Calibri"/>
            <w:color w:val="467886" w:themeColor="hyperlink"/>
            <w:kern w:val="0"/>
            <w:sz w:val="24"/>
            <w:szCs w:val="24"/>
            <w:u w:val="single"/>
            <w:lang w:val="es-ES"/>
            <w14:ligatures w14:val="none"/>
          </w:rPr>
          <w:t>https://elpinacate.com.mx/inicio/museo-schuk-toak/</w:t>
        </w:r>
      </w:hyperlink>
    </w:p>
    <w:p w14:paraId="18E53EAA" w14:textId="332FDD69" w:rsidR="0049583F" w:rsidRPr="00D44E2B" w:rsidRDefault="0049583F" w:rsidP="003D0615">
      <w:pPr>
        <w:suppressAutoHyphens/>
        <w:spacing w:line="240" w:lineRule="auto"/>
        <w:ind w:left="709" w:hanging="709"/>
        <w:jc w:val="both"/>
        <w:rPr>
          <w:rFonts w:ascii="Calibri" w:eastAsia="Times New Roman" w:hAnsi="Calibri" w:cs="Calibri"/>
          <w:color w:val="333333"/>
          <w:kern w:val="0"/>
          <w:sz w:val="24"/>
          <w:szCs w:val="24"/>
          <w:lang w:eastAsia="es-MX"/>
          <w14:ligatures w14:val="none"/>
        </w:rPr>
      </w:pPr>
      <w:r w:rsidRPr="000A1FC9">
        <w:rPr>
          <w:rFonts w:ascii="Calibri" w:eastAsia="Times New Roman" w:hAnsi="Calibri" w:cs="Calibri"/>
          <w:kern w:val="0"/>
          <w:sz w:val="24"/>
          <w:szCs w:val="24"/>
          <w:lang w:val="es-ES" w:eastAsia="es-MX"/>
          <w14:ligatures w14:val="none"/>
        </w:rPr>
        <w:t>S</w:t>
      </w:r>
      <w:r w:rsidR="00C9761D" w:rsidRPr="000A1FC9">
        <w:rPr>
          <w:rFonts w:ascii="Calibri" w:eastAsia="Times New Roman" w:hAnsi="Calibri" w:cs="Calibri"/>
          <w:kern w:val="0"/>
          <w:sz w:val="24"/>
          <w:szCs w:val="24"/>
          <w:lang w:val="es-ES" w:eastAsia="es-MX"/>
          <w14:ligatures w14:val="none"/>
        </w:rPr>
        <w:t>mith</w:t>
      </w:r>
      <w:r w:rsidRPr="000A1FC9">
        <w:rPr>
          <w:rFonts w:ascii="Calibri" w:eastAsia="Times New Roman" w:hAnsi="Calibri" w:cs="Calibri"/>
          <w:kern w:val="0"/>
          <w:sz w:val="24"/>
          <w:szCs w:val="24"/>
          <w:lang w:val="es-ES" w:eastAsia="es-MX"/>
          <w14:ligatures w14:val="none"/>
        </w:rPr>
        <w:t>, M. (2002)</w:t>
      </w:r>
      <w:r w:rsidR="00C9761D" w:rsidRPr="000A1FC9">
        <w:rPr>
          <w:rFonts w:ascii="Calibri" w:eastAsia="Times New Roman" w:hAnsi="Calibri" w:cs="Calibri"/>
          <w:kern w:val="0"/>
          <w:sz w:val="24"/>
          <w:szCs w:val="24"/>
          <w:lang w:val="es-ES" w:eastAsia="es-MX"/>
          <w14:ligatures w14:val="none"/>
        </w:rPr>
        <w:t xml:space="preserve">. </w:t>
      </w:r>
      <w:r w:rsidRPr="00D44E2B">
        <w:rPr>
          <w:rFonts w:ascii="Calibri" w:eastAsia="Times New Roman" w:hAnsi="Calibri" w:cs="Calibri"/>
          <w:kern w:val="0"/>
          <w:sz w:val="24"/>
          <w:szCs w:val="24"/>
          <w:lang w:val="en-US" w:eastAsia="es-MX"/>
          <w14:ligatures w14:val="none"/>
        </w:rPr>
        <w:t>A critical evaluation of the global accolade: the significance of World Heritage Site status for Maritime Greenwich</w:t>
      </w:r>
      <w:r w:rsidR="00C9761D">
        <w:rPr>
          <w:rFonts w:ascii="Calibri" w:eastAsia="Times New Roman" w:hAnsi="Calibri" w:cs="Calibri"/>
          <w:kern w:val="0"/>
          <w:sz w:val="24"/>
          <w:szCs w:val="24"/>
          <w:lang w:val="en-US" w:eastAsia="es-MX"/>
          <w14:ligatures w14:val="none"/>
        </w:rPr>
        <w:t>.</w:t>
      </w:r>
      <w:r w:rsidRPr="00D44E2B">
        <w:rPr>
          <w:rFonts w:ascii="Calibri" w:eastAsia="Times New Roman" w:hAnsi="Calibri" w:cs="Calibri"/>
          <w:kern w:val="0"/>
          <w:sz w:val="24"/>
          <w:szCs w:val="24"/>
          <w:lang w:val="en-US" w:eastAsia="es-MX"/>
          <w14:ligatures w14:val="none"/>
        </w:rPr>
        <w:t xml:space="preserve"> </w:t>
      </w:r>
      <w:r w:rsidRPr="00175AF0">
        <w:rPr>
          <w:rFonts w:ascii="Calibri" w:eastAsia="Times New Roman" w:hAnsi="Calibri" w:cs="Calibri"/>
          <w:i/>
          <w:iCs/>
          <w:kern w:val="0"/>
          <w:sz w:val="24"/>
          <w:szCs w:val="24"/>
          <w:lang w:eastAsia="es-MX"/>
          <w14:ligatures w14:val="none"/>
        </w:rPr>
        <w:t xml:space="preserve">International </w:t>
      </w:r>
      <w:proofErr w:type="spellStart"/>
      <w:r w:rsidRPr="00175AF0">
        <w:rPr>
          <w:rFonts w:ascii="Calibri" w:eastAsia="Times New Roman" w:hAnsi="Calibri" w:cs="Calibri"/>
          <w:i/>
          <w:iCs/>
          <w:kern w:val="0"/>
          <w:sz w:val="24"/>
          <w:szCs w:val="24"/>
          <w:lang w:eastAsia="es-MX"/>
          <w14:ligatures w14:val="none"/>
        </w:rPr>
        <w:t>Journal</w:t>
      </w:r>
      <w:proofErr w:type="spellEnd"/>
      <w:r w:rsidRPr="00175AF0">
        <w:rPr>
          <w:rFonts w:ascii="Calibri" w:eastAsia="Times New Roman" w:hAnsi="Calibri" w:cs="Calibri"/>
          <w:i/>
          <w:iCs/>
          <w:kern w:val="0"/>
          <w:sz w:val="24"/>
          <w:szCs w:val="24"/>
          <w:lang w:eastAsia="es-MX"/>
          <w14:ligatures w14:val="none"/>
        </w:rPr>
        <w:t xml:space="preserve"> </w:t>
      </w:r>
      <w:proofErr w:type="spellStart"/>
      <w:r w:rsidRPr="00175AF0">
        <w:rPr>
          <w:rFonts w:ascii="Calibri" w:eastAsia="Times New Roman" w:hAnsi="Calibri" w:cs="Calibri"/>
          <w:i/>
          <w:iCs/>
          <w:kern w:val="0"/>
          <w:sz w:val="24"/>
          <w:szCs w:val="24"/>
          <w:lang w:eastAsia="es-MX"/>
          <w14:ligatures w14:val="none"/>
        </w:rPr>
        <w:t>of</w:t>
      </w:r>
      <w:proofErr w:type="spellEnd"/>
      <w:r w:rsidRPr="00175AF0">
        <w:rPr>
          <w:rFonts w:ascii="Calibri" w:eastAsia="Times New Roman" w:hAnsi="Calibri" w:cs="Calibri"/>
          <w:i/>
          <w:iCs/>
          <w:kern w:val="0"/>
          <w:sz w:val="24"/>
          <w:szCs w:val="24"/>
          <w:lang w:eastAsia="es-MX"/>
          <w14:ligatures w14:val="none"/>
        </w:rPr>
        <w:t xml:space="preserve"> </w:t>
      </w:r>
      <w:proofErr w:type="spellStart"/>
      <w:r w:rsidRPr="00175AF0">
        <w:rPr>
          <w:rFonts w:ascii="Calibri" w:eastAsia="Times New Roman" w:hAnsi="Calibri" w:cs="Calibri"/>
          <w:i/>
          <w:iCs/>
          <w:kern w:val="0"/>
          <w:sz w:val="24"/>
          <w:szCs w:val="24"/>
          <w:lang w:eastAsia="es-MX"/>
          <w14:ligatures w14:val="none"/>
        </w:rPr>
        <w:t>Heritage</w:t>
      </w:r>
      <w:proofErr w:type="spellEnd"/>
      <w:r w:rsidRPr="00175AF0">
        <w:rPr>
          <w:rFonts w:ascii="Calibri" w:eastAsia="Times New Roman" w:hAnsi="Calibri" w:cs="Calibri"/>
          <w:i/>
          <w:iCs/>
          <w:kern w:val="0"/>
          <w:sz w:val="24"/>
          <w:szCs w:val="24"/>
          <w:lang w:eastAsia="es-MX"/>
          <w14:ligatures w14:val="none"/>
        </w:rPr>
        <w:t xml:space="preserve"> </w:t>
      </w:r>
      <w:proofErr w:type="spellStart"/>
      <w:r w:rsidRPr="00175AF0">
        <w:rPr>
          <w:rFonts w:ascii="Calibri" w:eastAsia="Times New Roman" w:hAnsi="Calibri" w:cs="Calibri"/>
          <w:i/>
          <w:iCs/>
          <w:kern w:val="0"/>
          <w:sz w:val="24"/>
          <w:szCs w:val="24"/>
          <w:lang w:eastAsia="es-MX"/>
          <w14:ligatures w14:val="none"/>
        </w:rPr>
        <w:t>Studies</w:t>
      </w:r>
      <w:proofErr w:type="spellEnd"/>
      <w:r w:rsidRPr="00175AF0">
        <w:rPr>
          <w:rFonts w:ascii="Calibri" w:eastAsia="Times New Roman" w:hAnsi="Calibri" w:cs="Calibri"/>
          <w:i/>
          <w:iCs/>
          <w:kern w:val="0"/>
          <w:sz w:val="24"/>
          <w:szCs w:val="24"/>
          <w:lang w:eastAsia="es-MX"/>
          <w14:ligatures w14:val="none"/>
        </w:rPr>
        <w:t xml:space="preserve"> </w:t>
      </w:r>
      <w:r w:rsidRPr="00175AF0">
        <w:rPr>
          <w:rFonts w:ascii="Calibri" w:eastAsia="Times New Roman" w:hAnsi="Calibri" w:cs="Calibri"/>
          <w:kern w:val="0"/>
          <w:sz w:val="24"/>
          <w:szCs w:val="24"/>
          <w:lang w:eastAsia="es-MX"/>
          <w14:ligatures w14:val="none"/>
        </w:rPr>
        <w:t>8(2), 137–151.</w:t>
      </w:r>
      <w:r w:rsidRPr="00D44E2B">
        <w:rPr>
          <w:rFonts w:ascii="Calibri" w:eastAsia="Times New Roman" w:hAnsi="Calibri" w:cs="Calibri"/>
          <w:kern w:val="0"/>
          <w:sz w:val="24"/>
          <w:szCs w:val="24"/>
          <w:lang w:eastAsia="es-MX"/>
          <w14:ligatures w14:val="none"/>
        </w:rPr>
        <w:t xml:space="preserve"> </w:t>
      </w:r>
      <w:hyperlink r:id="rId50">
        <w:r w:rsidRPr="00D44E2B">
          <w:rPr>
            <w:rFonts w:ascii="Calibri" w:eastAsia="Times New Roman" w:hAnsi="Calibri" w:cs="Calibri"/>
            <w:color w:val="006DB4"/>
            <w:kern w:val="0"/>
            <w:sz w:val="24"/>
            <w:szCs w:val="24"/>
            <w:u w:val="single"/>
            <w:lang w:eastAsia="es-MX"/>
            <w14:ligatures w14:val="none"/>
          </w:rPr>
          <w:t>https://doi.org/10.1080/13527250220143922</w:t>
        </w:r>
      </w:hyperlink>
    </w:p>
    <w:p w14:paraId="3211F7B1" w14:textId="56588463" w:rsidR="0049583F" w:rsidRPr="00D44E2B" w:rsidRDefault="0049583F" w:rsidP="003D0615">
      <w:pPr>
        <w:suppressAutoHyphens/>
        <w:spacing w:line="240" w:lineRule="auto"/>
        <w:ind w:left="709" w:hanging="709"/>
        <w:jc w:val="both"/>
        <w:rPr>
          <w:rFonts w:ascii="Calibri" w:hAnsi="Calibri" w:cs="Calibri"/>
          <w:kern w:val="0"/>
          <w:sz w:val="24"/>
          <w:szCs w:val="24"/>
          <w14:ligatures w14:val="none"/>
        </w:rPr>
      </w:pPr>
      <w:bookmarkStart w:id="5" w:name="_Hlk92907532"/>
      <w:r w:rsidRPr="00B55C4D">
        <w:rPr>
          <w:rFonts w:ascii="Calibri" w:hAnsi="Calibri" w:cs="Calibri"/>
          <w:kern w:val="0"/>
          <w:sz w:val="24"/>
          <w:szCs w:val="24"/>
          <w:lang w:val="es-ES"/>
          <w14:ligatures w14:val="none"/>
        </w:rPr>
        <w:t>SEMARNAP</w:t>
      </w:r>
      <w:r w:rsidR="00175AF0">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(1995)</w:t>
      </w:r>
      <w:r w:rsidR="00175AF0">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 xml:space="preserve">Programa de Manejo Áreas Naturales Protegidas Reserva de la Biosfera El Pinacate y Gran Desierto de Altar. Instituto Nacional de Ecología. México D.F. 1995. </w:t>
      </w:r>
    </w:p>
    <w:p w14:paraId="0012BEF2" w14:textId="77777777" w:rsidR="000A1FC9" w:rsidRPr="0063691F" w:rsidRDefault="000A1FC9" w:rsidP="003D0615">
      <w:pPr>
        <w:suppressAutoHyphens/>
        <w:spacing w:line="240" w:lineRule="auto"/>
        <w:ind w:left="709" w:hanging="709"/>
        <w:jc w:val="both"/>
      </w:pPr>
      <w:r w:rsidRPr="0063691F">
        <w:rPr>
          <w:rFonts w:ascii="Calibri" w:hAnsi="Calibri" w:cs="Calibri"/>
          <w:color w:val="000000" w:themeColor="text1"/>
          <w:kern w:val="0"/>
          <w:sz w:val="24"/>
          <w:szCs w:val="24"/>
          <w:lang w:val="es-ES"/>
          <w14:ligatures w14:val="none"/>
        </w:rPr>
        <w:t xml:space="preserve">Secretaría de Educación Pública. (2021). Calendario escolar histórico. </w:t>
      </w:r>
      <w:hyperlink r:id="rId51" w:history="1">
        <w:r w:rsidRPr="0063691F">
          <w:rPr>
            <w:rStyle w:val="Hipervnculo"/>
            <w:rFonts w:ascii="Calibri" w:hAnsi="Calibri" w:cs="Calibri"/>
            <w:kern w:val="0"/>
            <w:sz w:val="24"/>
            <w:szCs w:val="24"/>
            <w:lang w:val="es-ES"/>
            <w14:ligatures w14:val="none"/>
          </w:rPr>
          <w:t>https://www.planeacion.sep.gob.mx/CalendarioHistorico.aspx</w:t>
        </w:r>
      </w:hyperlink>
    </w:p>
    <w:p w14:paraId="29C32C08" w14:textId="7E083C77" w:rsidR="0049583F" w:rsidRPr="00D44E2B" w:rsidRDefault="0049583F" w:rsidP="003D0615">
      <w:pPr>
        <w:suppressAutoHyphens/>
        <w:spacing w:line="240" w:lineRule="auto"/>
        <w:ind w:left="709" w:hanging="709"/>
        <w:jc w:val="both"/>
        <w:rPr>
          <w:rFonts w:ascii="Calibri" w:hAnsi="Calibri" w:cs="Calibri"/>
          <w:color w:val="467886" w:themeColor="hyperlink"/>
          <w:kern w:val="0"/>
          <w:sz w:val="24"/>
          <w:szCs w:val="24"/>
          <w:u w:val="single"/>
          <w:lang w:val="en-US"/>
          <w14:ligatures w14:val="none"/>
        </w:rPr>
      </w:pPr>
      <w:r w:rsidRPr="00175AF0">
        <w:rPr>
          <w:rFonts w:ascii="Calibri" w:hAnsi="Calibri" w:cs="Calibri"/>
          <w:kern w:val="0"/>
          <w:sz w:val="24"/>
          <w:szCs w:val="24"/>
          <w14:ligatures w14:val="none"/>
        </w:rPr>
        <w:t>S</w:t>
      </w:r>
      <w:r w:rsidR="00175AF0" w:rsidRPr="00175AF0">
        <w:rPr>
          <w:rFonts w:ascii="Calibri" w:hAnsi="Calibri" w:cs="Calibri"/>
          <w:kern w:val="0"/>
          <w:sz w:val="24"/>
          <w:szCs w:val="24"/>
          <w14:ligatures w14:val="none"/>
        </w:rPr>
        <w:t>u</w:t>
      </w:r>
      <w:r w:rsidRPr="00175AF0">
        <w:rPr>
          <w:rFonts w:ascii="Calibri" w:hAnsi="Calibri" w:cs="Calibri"/>
          <w:kern w:val="0"/>
          <w:sz w:val="24"/>
          <w:szCs w:val="24"/>
          <w14:ligatures w14:val="none"/>
        </w:rPr>
        <w:t>, Y.</w:t>
      </w:r>
      <w:r w:rsidR="0020327E">
        <w:rPr>
          <w:rFonts w:ascii="Calibri" w:hAnsi="Calibri" w:cs="Calibri"/>
          <w:kern w:val="0"/>
          <w:sz w:val="24"/>
          <w:szCs w:val="24"/>
          <w14:ligatures w14:val="none"/>
        </w:rPr>
        <w:t xml:space="preserve"> &amp;</w:t>
      </w:r>
      <w:r w:rsidRPr="00175AF0">
        <w:rPr>
          <w:rFonts w:ascii="Calibri" w:hAnsi="Calibri" w:cs="Calibri"/>
          <w:kern w:val="0"/>
          <w:sz w:val="24"/>
          <w:szCs w:val="24"/>
          <w14:ligatures w14:val="none"/>
        </w:rPr>
        <w:t xml:space="preserve"> L</w:t>
      </w:r>
      <w:r w:rsidR="00175AF0" w:rsidRPr="00175AF0">
        <w:rPr>
          <w:rFonts w:ascii="Calibri" w:hAnsi="Calibri" w:cs="Calibri"/>
          <w:kern w:val="0"/>
          <w:sz w:val="24"/>
          <w:szCs w:val="24"/>
          <w14:ligatures w14:val="none"/>
        </w:rPr>
        <w:t>in</w:t>
      </w:r>
      <w:r w:rsidRPr="00175AF0">
        <w:rPr>
          <w:rFonts w:ascii="Calibri" w:hAnsi="Calibri" w:cs="Calibri"/>
          <w:kern w:val="0"/>
          <w:sz w:val="24"/>
          <w:szCs w:val="24"/>
          <w14:ligatures w14:val="none"/>
        </w:rPr>
        <w:t>, H. (2014)</w:t>
      </w:r>
      <w:r w:rsidR="00175AF0" w:rsidRPr="00175AF0">
        <w:rPr>
          <w:rFonts w:ascii="Calibri" w:hAnsi="Calibri" w:cs="Calibri"/>
          <w:kern w:val="0"/>
          <w:sz w:val="24"/>
          <w:szCs w:val="24"/>
          <w14:ligatures w14:val="none"/>
        </w:rPr>
        <w:t xml:space="preserve">. </w:t>
      </w:r>
      <w:r w:rsidRPr="00D44E2B">
        <w:rPr>
          <w:rFonts w:ascii="Calibri" w:hAnsi="Calibri" w:cs="Calibri"/>
          <w:kern w:val="0"/>
          <w:sz w:val="24"/>
          <w:szCs w:val="24"/>
          <w:lang w:val="en-US"/>
          <w14:ligatures w14:val="none"/>
        </w:rPr>
        <w:t>Analysis of international tourist arrivals worldwide: The role of world heritage sites</w:t>
      </w:r>
      <w:r w:rsidR="00175AF0">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r w:rsidRPr="00D44E2B">
        <w:rPr>
          <w:rFonts w:ascii="Calibri" w:hAnsi="Calibri" w:cs="Calibri"/>
          <w:i/>
          <w:iCs/>
          <w:kern w:val="0"/>
          <w:sz w:val="24"/>
          <w:szCs w:val="24"/>
          <w:lang w:val="en-US"/>
          <w14:ligatures w14:val="none"/>
        </w:rPr>
        <w:t>Tourism Management</w:t>
      </w:r>
      <w:r w:rsidRPr="00D44E2B">
        <w:rPr>
          <w:rFonts w:ascii="Calibri" w:hAnsi="Calibri" w:cs="Calibri"/>
          <w:kern w:val="0"/>
          <w:sz w:val="24"/>
          <w:szCs w:val="24"/>
          <w:lang w:val="en-US"/>
          <w14:ligatures w14:val="none"/>
        </w:rPr>
        <w:t xml:space="preserve">, 40, 46-58. </w:t>
      </w:r>
      <w:r>
        <w:fldChar w:fldCharType="begin"/>
      </w:r>
      <w:r w:rsidRPr="00F0737F">
        <w:rPr>
          <w:lang w:val="en-US"/>
          <w:rPrChange w:id="6" w:author="Autor">
            <w:rPr/>
          </w:rPrChange>
        </w:rPr>
        <w:instrText>HYPERLINK "https://doi.org/10.1016/j.tourman.2013.04.005" \h</w:instrText>
      </w:r>
      <w:r>
        <w:fldChar w:fldCharType="separate"/>
      </w:r>
      <w:r w:rsidRPr="00D44E2B">
        <w:rPr>
          <w:rFonts w:ascii="Calibri" w:hAnsi="Calibri" w:cs="Calibri"/>
          <w:color w:val="467886" w:themeColor="hyperlink"/>
          <w:kern w:val="0"/>
          <w:sz w:val="24"/>
          <w:szCs w:val="24"/>
          <w:u w:val="single"/>
          <w:lang w:val="en-US"/>
          <w14:ligatures w14:val="none"/>
        </w:rPr>
        <w:t>https://doi.org/10.1016/j.tourman.2013.04.005</w:t>
      </w:r>
      <w:r>
        <w:fldChar w:fldCharType="end"/>
      </w:r>
    </w:p>
    <w:p w14:paraId="3F7D00A7" w14:textId="0145D401" w:rsidR="0049583F" w:rsidRPr="00D44E2B" w:rsidRDefault="0049583F" w:rsidP="003D0615">
      <w:pPr>
        <w:suppressAutoHyphens/>
        <w:spacing w:line="240" w:lineRule="auto"/>
        <w:ind w:left="709" w:hanging="709"/>
        <w:jc w:val="both"/>
        <w:rPr>
          <w:rFonts w:ascii="Calibri" w:hAnsi="Calibri" w:cs="Calibri"/>
          <w:kern w:val="0"/>
          <w:sz w:val="24"/>
          <w:szCs w:val="24"/>
          <w:lang w:val="en-US"/>
          <w14:ligatures w14:val="none"/>
        </w:rPr>
      </w:pPr>
      <w:proofErr w:type="spellStart"/>
      <w:r w:rsidRPr="00D44E2B">
        <w:rPr>
          <w:rFonts w:ascii="Calibri" w:hAnsi="Calibri" w:cs="Calibri"/>
          <w:kern w:val="0"/>
          <w:sz w:val="24"/>
          <w:szCs w:val="24"/>
          <w:lang w:val="en-US"/>
          <w14:ligatures w14:val="none"/>
        </w:rPr>
        <w:t>T</w:t>
      </w:r>
      <w:r w:rsidR="00175AF0" w:rsidRPr="00D44E2B">
        <w:rPr>
          <w:rFonts w:ascii="Calibri" w:hAnsi="Calibri" w:cs="Calibri"/>
          <w:kern w:val="0"/>
          <w:sz w:val="24"/>
          <w:szCs w:val="24"/>
          <w:lang w:val="en-US"/>
          <w14:ligatures w14:val="none"/>
        </w:rPr>
        <w:t>verijonaite</w:t>
      </w:r>
      <w:proofErr w:type="spellEnd"/>
      <w:r w:rsidRPr="00D44E2B">
        <w:rPr>
          <w:rFonts w:ascii="Calibri" w:hAnsi="Calibri" w:cs="Calibri"/>
          <w:kern w:val="0"/>
          <w:sz w:val="24"/>
          <w:szCs w:val="24"/>
          <w:lang w:val="en-US"/>
          <w14:ligatures w14:val="none"/>
        </w:rPr>
        <w:t>, E., Ó</w:t>
      </w:r>
      <w:r w:rsidR="00175AF0" w:rsidRPr="00D44E2B">
        <w:rPr>
          <w:rFonts w:ascii="Calibri" w:hAnsi="Calibri" w:cs="Calibri"/>
          <w:kern w:val="0"/>
          <w:sz w:val="24"/>
          <w:szCs w:val="24"/>
          <w:lang w:val="en-US"/>
          <w14:ligatures w14:val="none"/>
        </w:rPr>
        <w:t>lafsdóttir</w:t>
      </w:r>
      <w:r w:rsidRPr="00D44E2B">
        <w:rPr>
          <w:rFonts w:ascii="Calibri" w:hAnsi="Calibri" w:cs="Calibri"/>
          <w:kern w:val="0"/>
          <w:sz w:val="24"/>
          <w:szCs w:val="24"/>
          <w:lang w:val="en-US"/>
          <w14:ligatures w14:val="none"/>
        </w:rPr>
        <w:t>, R. y T</w:t>
      </w:r>
      <w:r w:rsidR="00175AF0" w:rsidRPr="00D44E2B">
        <w:rPr>
          <w:rFonts w:ascii="Calibri" w:hAnsi="Calibri" w:cs="Calibri"/>
          <w:kern w:val="0"/>
          <w:sz w:val="24"/>
          <w:szCs w:val="24"/>
          <w:lang w:val="en-US"/>
          <w14:ligatures w14:val="none"/>
        </w:rPr>
        <w:t>horsteinsson</w:t>
      </w:r>
      <w:r w:rsidRPr="00D44E2B">
        <w:rPr>
          <w:rFonts w:ascii="Calibri" w:hAnsi="Calibri" w:cs="Calibri"/>
          <w:kern w:val="0"/>
          <w:sz w:val="24"/>
          <w:szCs w:val="24"/>
          <w:lang w:val="en-US"/>
          <w14:ligatures w14:val="none"/>
        </w:rPr>
        <w:t>, T. (2018)</w:t>
      </w:r>
      <w:r w:rsidR="00175AF0">
        <w:rPr>
          <w:rFonts w:ascii="Calibri" w:hAnsi="Calibri" w:cs="Calibri"/>
          <w:kern w:val="0"/>
          <w:sz w:val="24"/>
          <w:szCs w:val="24"/>
          <w:lang w:val="en-US"/>
          <w14:ligatures w14:val="none"/>
        </w:rPr>
        <w:t xml:space="preserve">. </w:t>
      </w:r>
      <w:proofErr w:type="spellStart"/>
      <w:r w:rsidRPr="00D44E2B">
        <w:rPr>
          <w:rFonts w:ascii="Calibri" w:hAnsi="Calibri" w:cs="Calibri"/>
          <w:kern w:val="0"/>
          <w:sz w:val="24"/>
          <w:szCs w:val="24"/>
          <w:lang w:val="en-US"/>
          <w14:ligatures w14:val="none"/>
        </w:rPr>
        <w:t>Accesibility</w:t>
      </w:r>
      <w:proofErr w:type="spellEnd"/>
      <w:r w:rsidRPr="00D44E2B">
        <w:rPr>
          <w:rFonts w:ascii="Calibri" w:hAnsi="Calibri" w:cs="Calibri"/>
          <w:kern w:val="0"/>
          <w:sz w:val="24"/>
          <w:szCs w:val="24"/>
          <w:lang w:val="en-US"/>
          <w14:ligatures w14:val="none"/>
        </w:rPr>
        <w:t xml:space="preserve"> of protected areas and visitor </w:t>
      </w:r>
      <w:proofErr w:type="spellStart"/>
      <w:r w:rsidRPr="00D44E2B">
        <w:rPr>
          <w:rFonts w:ascii="Calibri" w:hAnsi="Calibri" w:cs="Calibri"/>
          <w:kern w:val="0"/>
          <w:sz w:val="24"/>
          <w:szCs w:val="24"/>
          <w:lang w:val="en-US"/>
          <w14:ligatures w14:val="none"/>
        </w:rPr>
        <w:t>behaviour</w:t>
      </w:r>
      <w:proofErr w:type="spellEnd"/>
      <w:r w:rsidRPr="00D44E2B">
        <w:rPr>
          <w:rFonts w:ascii="Calibri" w:hAnsi="Calibri" w:cs="Calibri"/>
          <w:kern w:val="0"/>
          <w:sz w:val="24"/>
          <w:szCs w:val="24"/>
          <w:lang w:val="en-US"/>
          <w14:ligatures w14:val="none"/>
        </w:rPr>
        <w:t>: A case study from Iceland</w:t>
      </w:r>
      <w:r w:rsidR="00175AF0">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r w:rsidRPr="00D44E2B">
        <w:rPr>
          <w:rFonts w:ascii="Calibri" w:hAnsi="Calibri" w:cs="Calibri"/>
          <w:i/>
          <w:iCs/>
          <w:kern w:val="0"/>
          <w:sz w:val="24"/>
          <w:szCs w:val="24"/>
          <w:lang w:val="en-US"/>
          <w14:ligatures w14:val="none"/>
        </w:rPr>
        <w:t>Journal of Outdoor Recreation and Tourism</w:t>
      </w:r>
      <w:r w:rsidRPr="00D44E2B">
        <w:rPr>
          <w:rFonts w:ascii="Calibri" w:hAnsi="Calibri" w:cs="Calibri"/>
          <w:kern w:val="0"/>
          <w:sz w:val="24"/>
          <w:szCs w:val="24"/>
          <w:lang w:val="en-US"/>
          <w14:ligatures w14:val="none"/>
        </w:rPr>
        <w:t>, 24(September), 1-10.</w:t>
      </w:r>
      <w:r w:rsidR="00175AF0">
        <w:rPr>
          <w:rFonts w:ascii="Calibri" w:hAnsi="Calibri" w:cs="Calibri"/>
          <w:kern w:val="0"/>
          <w:sz w:val="24"/>
          <w:szCs w:val="24"/>
          <w:lang w:val="en-US"/>
          <w14:ligatures w14:val="none"/>
        </w:rPr>
        <w:t xml:space="preserve"> </w:t>
      </w:r>
      <w:r>
        <w:fldChar w:fldCharType="begin"/>
      </w:r>
      <w:r w:rsidRPr="00F0737F">
        <w:rPr>
          <w:lang w:val="en-US"/>
          <w:rPrChange w:id="7" w:author="Autor">
            <w:rPr/>
          </w:rPrChange>
        </w:rPr>
        <w:instrText>HYPERLINK "https://doi.org/10.1016/j.jort.2018.09.001" \h</w:instrText>
      </w:r>
      <w:r>
        <w:fldChar w:fldCharType="separate"/>
      </w:r>
      <w:r w:rsidRPr="00D44E2B">
        <w:rPr>
          <w:rFonts w:ascii="Calibri" w:hAnsi="Calibri" w:cs="Calibri"/>
          <w:color w:val="467886" w:themeColor="hyperlink"/>
          <w:kern w:val="0"/>
          <w:sz w:val="24"/>
          <w:szCs w:val="24"/>
          <w:u w:val="single"/>
          <w:lang w:val="en-US"/>
          <w14:ligatures w14:val="none"/>
        </w:rPr>
        <w:t>https://doi.org/10.1016/j.jort.2018.09.001</w:t>
      </w:r>
      <w:r>
        <w:fldChar w:fldCharType="end"/>
      </w:r>
    </w:p>
    <w:p w14:paraId="398EE707" w14:textId="50A72CD8" w:rsidR="0049583F" w:rsidRPr="000A1FC9" w:rsidRDefault="0049583F" w:rsidP="003D0615">
      <w:pPr>
        <w:suppressAutoHyphens/>
        <w:spacing w:line="240" w:lineRule="auto"/>
        <w:ind w:left="709" w:hanging="709"/>
        <w:jc w:val="both"/>
        <w:rPr>
          <w:rFonts w:ascii="Calibri" w:hAnsi="Calibri" w:cs="Calibri"/>
          <w:kern w:val="0"/>
          <w:sz w:val="24"/>
          <w:szCs w:val="24"/>
          <w:lang w:val="en-US"/>
          <w14:ligatures w14:val="none"/>
        </w:rPr>
      </w:pPr>
      <w:r w:rsidRPr="00D44E2B">
        <w:rPr>
          <w:rFonts w:ascii="Calibri" w:hAnsi="Calibri" w:cs="Calibri"/>
          <w:kern w:val="0"/>
          <w:sz w:val="24"/>
          <w:szCs w:val="24"/>
          <w:lang w:val="en-US"/>
          <w14:ligatures w14:val="none"/>
        </w:rPr>
        <w:t>T</w:t>
      </w:r>
      <w:r w:rsidR="00175AF0" w:rsidRPr="00D44E2B">
        <w:rPr>
          <w:rFonts w:ascii="Calibri" w:hAnsi="Calibri" w:cs="Calibri"/>
          <w:kern w:val="0"/>
          <w:sz w:val="24"/>
          <w:szCs w:val="24"/>
          <w:lang w:val="en-US"/>
          <w14:ligatures w14:val="none"/>
        </w:rPr>
        <w:t>imothy</w:t>
      </w:r>
      <w:r w:rsidRPr="00D44E2B">
        <w:rPr>
          <w:rFonts w:ascii="Calibri" w:hAnsi="Calibri" w:cs="Calibri"/>
          <w:kern w:val="0"/>
          <w:sz w:val="24"/>
          <w:szCs w:val="24"/>
          <w:lang w:val="en-US"/>
          <w14:ligatures w14:val="none"/>
        </w:rPr>
        <w:t>, D.J. (2011)</w:t>
      </w:r>
      <w:r w:rsidR="00175AF0">
        <w:rPr>
          <w:rFonts w:ascii="Calibri" w:hAnsi="Calibri" w:cs="Calibri"/>
          <w:kern w:val="0"/>
          <w:sz w:val="24"/>
          <w:szCs w:val="24"/>
          <w:lang w:val="en-US"/>
          <w14:ligatures w14:val="none"/>
        </w:rPr>
        <w:t xml:space="preserve">. </w:t>
      </w:r>
      <w:r w:rsidRPr="00D44E2B">
        <w:rPr>
          <w:rFonts w:ascii="Calibri" w:hAnsi="Calibri" w:cs="Calibri"/>
          <w:i/>
          <w:iCs/>
          <w:kern w:val="0"/>
          <w:sz w:val="24"/>
          <w:szCs w:val="24"/>
          <w:lang w:val="en-US"/>
          <w14:ligatures w14:val="none"/>
        </w:rPr>
        <w:t>Cultural Heritage and Tourism: An Introduction</w:t>
      </w:r>
      <w:r w:rsidRPr="00D44E2B">
        <w:rPr>
          <w:rFonts w:ascii="Calibri" w:hAnsi="Calibri" w:cs="Calibri"/>
          <w:kern w:val="0"/>
          <w:sz w:val="24"/>
          <w:szCs w:val="24"/>
          <w:lang w:val="en-US"/>
          <w14:ligatures w14:val="none"/>
        </w:rPr>
        <w:t xml:space="preserve">. Channel View Publications, Clevedon, UK. Urry, J. (1990) </w:t>
      </w:r>
      <w:r w:rsidRPr="00D44E2B">
        <w:rPr>
          <w:rFonts w:ascii="Calibri" w:hAnsi="Calibri" w:cs="Calibri"/>
          <w:i/>
          <w:iCs/>
          <w:kern w:val="0"/>
          <w:sz w:val="24"/>
          <w:szCs w:val="24"/>
          <w:lang w:val="en-US"/>
          <w14:ligatures w14:val="none"/>
        </w:rPr>
        <w:t>The Tourist Gaze</w:t>
      </w:r>
      <w:r w:rsidRPr="00D44E2B">
        <w:rPr>
          <w:rFonts w:ascii="Calibri" w:hAnsi="Calibri" w:cs="Calibri"/>
          <w:kern w:val="0"/>
          <w:sz w:val="24"/>
          <w:szCs w:val="24"/>
          <w:lang w:val="en-US"/>
          <w14:ligatures w14:val="none"/>
        </w:rPr>
        <w:t xml:space="preserve">. </w:t>
      </w:r>
      <w:r w:rsidRPr="000A1FC9">
        <w:rPr>
          <w:rFonts w:ascii="Calibri" w:hAnsi="Calibri" w:cs="Calibri"/>
          <w:kern w:val="0"/>
          <w:sz w:val="24"/>
          <w:szCs w:val="24"/>
          <w:lang w:val="en-US"/>
          <w14:ligatures w14:val="none"/>
        </w:rPr>
        <w:t>Sage, London.</w:t>
      </w:r>
    </w:p>
    <w:p w14:paraId="68DD2E3E" w14:textId="44E45259" w:rsidR="00664E49" w:rsidRPr="00194902" w:rsidRDefault="00664E49" w:rsidP="003D0615">
      <w:pPr>
        <w:suppressAutoHyphens/>
        <w:spacing w:line="240" w:lineRule="auto"/>
        <w:ind w:left="709" w:hanging="709"/>
        <w:jc w:val="both"/>
        <w:rPr>
          <w:rFonts w:ascii="Calibri" w:hAnsi="Calibri" w:cs="Calibri"/>
          <w:sz w:val="24"/>
          <w:szCs w:val="24"/>
        </w:rPr>
      </w:pPr>
      <w:bookmarkStart w:id="8" w:name="_Hlk200709710"/>
      <w:r w:rsidRPr="000A1FC9">
        <w:rPr>
          <w:rFonts w:ascii="Calibri" w:hAnsi="Calibri" w:cs="Calibri"/>
          <w:color w:val="242424"/>
          <w:sz w:val="24"/>
          <w:szCs w:val="24"/>
          <w:shd w:val="clear" w:color="auto" w:fill="FFFFFF"/>
          <w:lang w:val="en-US"/>
        </w:rPr>
        <w:t xml:space="preserve">UNEP-WCMC </w:t>
      </w:r>
      <w:bookmarkEnd w:id="8"/>
      <w:r w:rsidRPr="000A1FC9">
        <w:rPr>
          <w:rFonts w:ascii="Calibri" w:hAnsi="Calibri" w:cs="Calibri"/>
          <w:color w:val="242424"/>
          <w:sz w:val="24"/>
          <w:szCs w:val="24"/>
          <w:shd w:val="clear" w:color="auto" w:fill="FFFFFF"/>
          <w:lang w:val="en-US"/>
        </w:rPr>
        <w:t xml:space="preserve">(2025). Protected Area Profile for Latin America &amp; Caribbean from the World Database on Protected Areas, June 2025. </w:t>
      </w:r>
      <w:r w:rsidR="000A1FC9" w:rsidRPr="00194902">
        <w:rPr>
          <w:rFonts w:ascii="Calibri" w:hAnsi="Calibri" w:cs="Calibri"/>
          <w:color w:val="242424"/>
          <w:sz w:val="24"/>
          <w:szCs w:val="24"/>
          <w:shd w:val="clear" w:color="auto" w:fill="FFFFFF"/>
        </w:rPr>
        <w:t>Disponible en</w:t>
      </w:r>
      <w:r w:rsidRPr="00194902">
        <w:rPr>
          <w:rFonts w:ascii="Calibri" w:hAnsi="Calibri" w:cs="Calibri"/>
          <w:color w:val="242424"/>
          <w:sz w:val="24"/>
          <w:szCs w:val="24"/>
          <w:shd w:val="clear" w:color="auto" w:fill="FFFFFF"/>
        </w:rPr>
        <w:t>: </w:t>
      </w:r>
      <w:hyperlink r:id="rId52" w:history="1">
        <w:r w:rsidRPr="00194902">
          <w:rPr>
            <w:rFonts w:ascii="Calibri" w:hAnsi="Calibri" w:cs="Calibri"/>
            <w:color w:val="0000FF"/>
            <w:sz w:val="24"/>
            <w:szCs w:val="24"/>
            <w:u w:val="single"/>
            <w:shd w:val="clear" w:color="auto" w:fill="FFFFFF"/>
          </w:rPr>
          <w:t>www.protectedplanet.net</w:t>
        </w:r>
      </w:hyperlink>
    </w:p>
    <w:p w14:paraId="25FAE2D1" w14:textId="740AEBD0" w:rsidR="000A1FC9" w:rsidRPr="00D44E2B" w:rsidRDefault="000A1FC9" w:rsidP="003D0615">
      <w:pPr>
        <w:suppressAutoHyphens/>
        <w:spacing w:line="240" w:lineRule="auto"/>
        <w:ind w:left="709" w:hanging="709"/>
        <w:jc w:val="both"/>
        <w:rPr>
          <w:rFonts w:ascii="Calibri" w:hAnsi="Calibri" w:cs="Calibri"/>
          <w:color w:val="0000FF"/>
          <w:kern w:val="0"/>
          <w:sz w:val="24"/>
          <w:szCs w:val="24"/>
          <w:u w:val="single"/>
          <w14:ligatures w14:val="none"/>
        </w:rPr>
      </w:pPr>
      <w:bookmarkStart w:id="9" w:name="_Hlk105059692"/>
      <w:r w:rsidRPr="00D44E2B">
        <w:rPr>
          <w:rFonts w:ascii="Calibri" w:hAnsi="Calibri" w:cs="Calibri"/>
          <w:kern w:val="0"/>
          <w:sz w:val="24"/>
          <w:szCs w:val="24"/>
          <w14:ligatures w14:val="none"/>
        </w:rPr>
        <w:t>UNESCO (2023</w:t>
      </w:r>
      <w:r w:rsidR="002A10CD">
        <w:rPr>
          <w:rFonts w:ascii="Calibri" w:hAnsi="Calibri" w:cs="Calibri"/>
          <w:kern w:val="0"/>
          <w:sz w:val="24"/>
          <w:szCs w:val="24"/>
          <w14:ligatures w14:val="none"/>
        </w:rPr>
        <w:t>a</w:t>
      </w:r>
      <w:r w:rsidRPr="00D44E2B">
        <w:rPr>
          <w:rFonts w:ascii="Calibri" w:hAnsi="Calibri" w:cs="Calibri"/>
          <w:kern w:val="0"/>
          <w:sz w:val="24"/>
          <w:szCs w:val="24"/>
          <w14:ligatures w14:val="none"/>
        </w:rPr>
        <w:t>)</w:t>
      </w:r>
      <w:r>
        <w:rPr>
          <w:rFonts w:ascii="Calibri" w:hAnsi="Calibri" w:cs="Calibri"/>
          <w:kern w:val="0"/>
          <w:sz w:val="24"/>
          <w:szCs w:val="24"/>
          <w14:ligatures w14:val="none"/>
        </w:rPr>
        <w:t xml:space="preserve">. </w:t>
      </w:r>
      <w:r w:rsidRPr="00D44E2B">
        <w:rPr>
          <w:rFonts w:ascii="Calibri" w:hAnsi="Calibri" w:cs="Calibri"/>
          <w:i/>
          <w:iCs/>
          <w:kern w:val="0"/>
          <w:sz w:val="24"/>
          <w:szCs w:val="24"/>
          <w14:ligatures w14:val="none"/>
        </w:rPr>
        <w:t>Lista de la convención de patrimonio de la humanidad</w:t>
      </w:r>
      <w:r w:rsidRPr="00D44E2B">
        <w:rPr>
          <w:rFonts w:ascii="Calibri" w:hAnsi="Calibri" w:cs="Calibri"/>
          <w:kern w:val="0"/>
          <w:sz w:val="24"/>
          <w:szCs w:val="24"/>
          <w14:ligatures w14:val="none"/>
        </w:rPr>
        <w:t xml:space="preserve">. </w:t>
      </w:r>
      <w:r>
        <w:rPr>
          <w:rFonts w:ascii="Calibri" w:hAnsi="Calibri" w:cs="Calibri"/>
          <w:kern w:val="0"/>
          <w:sz w:val="24"/>
          <w:szCs w:val="24"/>
          <w14:ligatures w14:val="none"/>
        </w:rPr>
        <w:t xml:space="preserve">Disponible en: </w:t>
      </w:r>
      <w:hyperlink r:id="rId53" w:history="1">
        <w:r w:rsidRPr="00866215">
          <w:rPr>
            <w:rStyle w:val="Hipervnculo"/>
            <w:rFonts w:ascii="Calibri" w:hAnsi="Calibri" w:cs="Calibri"/>
            <w:kern w:val="0"/>
            <w:sz w:val="24"/>
            <w:szCs w:val="24"/>
            <w14:ligatures w14:val="none"/>
          </w:rPr>
          <w:t>https://whc.unesco.org/es/list/?iso=mx&amp;search=&amp;</w:t>
        </w:r>
      </w:hyperlink>
      <w:r w:rsidRPr="00D44E2B">
        <w:rPr>
          <w:rFonts w:ascii="Calibri" w:hAnsi="Calibri" w:cs="Calibri"/>
          <w:color w:val="0000FF"/>
          <w:kern w:val="0"/>
          <w:sz w:val="24"/>
          <w:szCs w:val="24"/>
          <w:u w:val="single"/>
          <w14:ligatures w14:val="none"/>
        </w:rPr>
        <w:t xml:space="preserve"> </w:t>
      </w:r>
      <w:bookmarkEnd w:id="9"/>
    </w:p>
    <w:p w14:paraId="24DC3835" w14:textId="6EC7A21D" w:rsidR="000A1FC9" w:rsidRPr="00D44E2B" w:rsidRDefault="000A1FC9" w:rsidP="003D0615">
      <w:pPr>
        <w:suppressAutoHyphens/>
        <w:spacing w:line="240" w:lineRule="auto"/>
        <w:ind w:left="709" w:hanging="709"/>
        <w:jc w:val="both"/>
        <w:rPr>
          <w:rFonts w:ascii="Calibri" w:hAnsi="Calibri" w:cs="Calibri"/>
          <w:color w:val="000000" w:themeColor="text1"/>
          <w:kern w:val="0"/>
          <w:sz w:val="24"/>
          <w:szCs w:val="24"/>
          <w14:ligatures w14:val="none"/>
        </w:rPr>
      </w:pPr>
      <w:r w:rsidRPr="00D44E2B">
        <w:rPr>
          <w:rFonts w:ascii="Calibri" w:hAnsi="Calibri" w:cs="Calibri"/>
          <w:color w:val="000000" w:themeColor="text1"/>
          <w:kern w:val="0"/>
          <w:sz w:val="24"/>
          <w:szCs w:val="24"/>
          <w14:ligatures w14:val="none"/>
        </w:rPr>
        <w:lastRenderedPageBreak/>
        <w:t>UNESCO (2023</w:t>
      </w:r>
      <w:r w:rsidR="002A10CD">
        <w:rPr>
          <w:rFonts w:ascii="Calibri" w:hAnsi="Calibri" w:cs="Calibri"/>
          <w:color w:val="000000" w:themeColor="text1"/>
          <w:kern w:val="0"/>
          <w:sz w:val="24"/>
          <w:szCs w:val="24"/>
          <w14:ligatures w14:val="none"/>
        </w:rPr>
        <w:t>b</w:t>
      </w:r>
      <w:r w:rsidRPr="00D44E2B">
        <w:rPr>
          <w:rFonts w:ascii="Calibri" w:hAnsi="Calibri" w:cs="Calibri"/>
          <w:color w:val="000000" w:themeColor="text1"/>
          <w:kern w:val="0"/>
          <w:sz w:val="24"/>
          <w:szCs w:val="24"/>
          <w14:ligatures w14:val="none"/>
        </w:rPr>
        <w:t>)</w:t>
      </w:r>
      <w:r>
        <w:rPr>
          <w:rFonts w:ascii="Calibri" w:hAnsi="Calibri" w:cs="Calibri"/>
          <w:color w:val="000000" w:themeColor="text1"/>
          <w:kern w:val="0"/>
          <w:sz w:val="24"/>
          <w:szCs w:val="24"/>
          <w14:ligatures w14:val="none"/>
        </w:rPr>
        <w:t xml:space="preserve">. </w:t>
      </w:r>
      <w:r w:rsidRPr="00D44E2B">
        <w:rPr>
          <w:rFonts w:ascii="Calibri" w:hAnsi="Calibri" w:cs="Calibri"/>
          <w:i/>
          <w:iCs/>
          <w:color w:val="000000" w:themeColor="text1"/>
          <w:kern w:val="0"/>
          <w:sz w:val="24"/>
          <w:szCs w:val="24"/>
          <w14:ligatures w14:val="none"/>
        </w:rPr>
        <w:t>Reservas de la Biosfera en Latinoamérica y el Caribe.</w:t>
      </w:r>
      <w:r w:rsidRPr="00D44E2B">
        <w:rPr>
          <w:rFonts w:ascii="Calibri" w:hAnsi="Calibri" w:cs="Calibri"/>
          <w:color w:val="000000" w:themeColor="text1"/>
          <w:kern w:val="0"/>
          <w:sz w:val="24"/>
          <w:szCs w:val="24"/>
          <w14:ligatures w14:val="none"/>
        </w:rPr>
        <w:t xml:space="preserve"> </w:t>
      </w:r>
      <w:r>
        <w:rPr>
          <w:rFonts w:ascii="Calibri" w:hAnsi="Calibri" w:cs="Calibri"/>
          <w:color w:val="000000" w:themeColor="text1"/>
          <w:kern w:val="0"/>
          <w:sz w:val="24"/>
          <w:szCs w:val="24"/>
          <w14:ligatures w14:val="none"/>
        </w:rPr>
        <w:t xml:space="preserve">Disponible en: </w:t>
      </w:r>
      <w:hyperlink r:id="rId54" w:history="1">
        <w:r w:rsidRPr="00866215">
          <w:rPr>
            <w:rStyle w:val="Hipervnculo"/>
            <w:rFonts w:ascii="Calibri" w:hAnsi="Calibri" w:cs="Calibri"/>
            <w:kern w:val="0"/>
            <w:sz w:val="24"/>
            <w:szCs w:val="24"/>
            <w14:ligatures w14:val="none"/>
          </w:rPr>
          <w:t>https://en.unesco.org/biosphere/lac</w:t>
        </w:r>
      </w:hyperlink>
    </w:p>
    <w:p w14:paraId="3A41C1A6" w14:textId="050DFCCC" w:rsidR="0049583F" w:rsidRPr="009A06B8" w:rsidRDefault="0049583F" w:rsidP="003D0615">
      <w:pPr>
        <w:suppressAutoHyphens/>
        <w:spacing w:line="240" w:lineRule="auto"/>
        <w:ind w:left="709" w:hanging="709"/>
        <w:jc w:val="both"/>
        <w:rPr>
          <w:rFonts w:ascii="Calibri" w:hAnsi="Calibri" w:cs="Calibri"/>
          <w:kern w:val="0"/>
          <w:sz w:val="24"/>
          <w:szCs w:val="24"/>
          <w14:ligatures w14:val="none"/>
        </w:rPr>
      </w:pPr>
      <w:r w:rsidRPr="00D44E2B">
        <w:rPr>
          <w:rFonts w:ascii="Calibri" w:hAnsi="Calibri" w:cs="Calibri"/>
          <w:kern w:val="0"/>
          <w:sz w:val="24"/>
          <w:szCs w:val="24"/>
          <w14:ligatures w14:val="none"/>
        </w:rPr>
        <w:t>V</w:t>
      </w:r>
      <w:r w:rsidR="00175AF0" w:rsidRPr="00D44E2B">
        <w:rPr>
          <w:rFonts w:ascii="Calibri" w:hAnsi="Calibri" w:cs="Calibri"/>
          <w:kern w:val="0"/>
          <w:sz w:val="24"/>
          <w:szCs w:val="24"/>
          <w14:ligatures w14:val="none"/>
        </w:rPr>
        <w:t>elázquez</w:t>
      </w:r>
      <w:r w:rsidRPr="00D44E2B">
        <w:rPr>
          <w:rFonts w:ascii="Calibri" w:hAnsi="Calibri" w:cs="Calibri"/>
          <w:kern w:val="0"/>
          <w:sz w:val="24"/>
          <w:szCs w:val="24"/>
          <w14:ligatures w14:val="none"/>
        </w:rPr>
        <w:t xml:space="preserve"> L</w:t>
      </w:r>
      <w:r w:rsidR="00175AF0" w:rsidRPr="00D44E2B">
        <w:rPr>
          <w:rFonts w:ascii="Calibri" w:hAnsi="Calibri" w:cs="Calibri"/>
          <w:kern w:val="0"/>
          <w:sz w:val="24"/>
          <w:szCs w:val="24"/>
          <w14:ligatures w14:val="none"/>
        </w:rPr>
        <w:t>ópez</w:t>
      </w:r>
      <w:r w:rsidRPr="00D44E2B">
        <w:rPr>
          <w:rFonts w:ascii="Calibri" w:hAnsi="Calibri" w:cs="Calibri"/>
          <w:kern w:val="0"/>
          <w:sz w:val="24"/>
          <w:szCs w:val="24"/>
          <w14:ligatures w14:val="none"/>
        </w:rPr>
        <w:t>, O</w:t>
      </w:r>
      <w:r w:rsidR="00A20B38">
        <w:rPr>
          <w:rFonts w:ascii="Calibri" w:hAnsi="Calibri" w:cs="Calibri"/>
          <w:kern w:val="0"/>
          <w:sz w:val="24"/>
          <w:szCs w:val="24"/>
          <w14:ligatures w14:val="none"/>
        </w:rPr>
        <w:t>.</w:t>
      </w:r>
      <w:r w:rsidRPr="00D44E2B">
        <w:rPr>
          <w:rFonts w:ascii="Calibri" w:hAnsi="Calibri" w:cs="Calibri"/>
          <w:kern w:val="0"/>
          <w:sz w:val="24"/>
          <w:szCs w:val="24"/>
          <w14:ligatures w14:val="none"/>
        </w:rPr>
        <w:t>, S</w:t>
      </w:r>
      <w:r w:rsidR="00175AF0" w:rsidRPr="00D44E2B">
        <w:rPr>
          <w:rFonts w:ascii="Calibri" w:hAnsi="Calibri" w:cs="Calibri"/>
          <w:kern w:val="0"/>
          <w:sz w:val="24"/>
          <w:szCs w:val="24"/>
          <w14:ligatures w14:val="none"/>
        </w:rPr>
        <w:t>aavedra</w:t>
      </w:r>
      <w:r w:rsidRPr="00D44E2B">
        <w:rPr>
          <w:rFonts w:ascii="Calibri" w:hAnsi="Calibri" w:cs="Calibri"/>
          <w:kern w:val="0"/>
          <w:sz w:val="24"/>
          <w:szCs w:val="24"/>
          <w14:ligatures w14:val="none"/>
        </w:rPr>
        <w:t xml:space="preserve"> G</w:t>
      </w:r>
      <w:r w:rsidR="00175AF0" w:rsidRPr="00D44E2B">
        <w:rPr>
          <w:rFonts w:ascii="Calibri" w:hAnsi="Calibri" w:cs="Calibri"/>
          <w:kern w:val="0"/>
          <w:sz w:val="24"/>
          <w:szCs w:val="24"/>
          <w14:ligatures w14:val="none"/>
        </w:rPr>
        <w:t>arcía</w:t>
      </w:r>
      <w:r w:rsidRPr="00D44E2B">
        <w:rPr>
          <w:rFonts w:ascii="Calibri" w:hAnsi="Calibri" w:cs="Calibri"/>
          <w:kern w:val="0"/>
          <w:sz w:val="24"/>
          <w:szCs w:val="24"/>
          <w14:ligatures w14:val="none"/>
        </w:rPr>
        <w:t>, M.</w:t>
      </w:r>
      <w:r w:rsidR="003A5628">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y S</w:t>
      </w:r>
      <w:r w:rsidR="00175AF0" w:rsidRPr="00D44E2B">
        <w:rPr>
          <w:rFonts w:ascii="Calibri" w:hAnsi="Calibri" w:cs="Calibri"/>
          <w:kern w:val="0"/>
          <w:sz w:val="24"/>
          <w:szCs w:val="24"/>
          <w14:ligatures w14:val="none"/>
        </w:rPr>
        <w:t>aavedr</w:t>
      </w:r>
      <w:r w:rsidR="003A5628">
        <w:rPr>
          <w:rFonts w:ascii="Calibri" w:hAnsi="Calibri" w:cs="Calibri"/>
          <w:kern w:val="0"/>
          <w:sz w:val="24"/>
          <w:szCs w:val="24"/>
          <w14:ligatures w14:val="none"/>
        </w:rPr>
        <w:t>a</w:t>
      </w:r>
      <w:r w:rsidRPr="00D44E2B">
        <w:rPr>
          <w:rFonts w:ascii="Calibri" w:hAnsi="Calibri" w:cs="Calibri"/>
          <w:kern w:val="0"/>
          <w:sz w:val="24"/>
          <w:szCs w:val="24"/>
          <w14:ligatures w14:val="none"/>
        </w:rPr>
        <w:t>, M</w:t>
      </w:r>
      <w:r w:rsidR="003A5628">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(2022)</w:t>
      </w:r>
      <w:r w:rsidR="00175AF0">
        <w:rPr>
          <w:rFonts w:ascii="Calibri" w:hAnsi="Calibri" w:cs="Calibri"/>
          <w:kern w:val="0"/>
          <w:sz w:val="24"/>
          <w:szCs w:val="24"/>
          <w14:ligatures w14:val="none"/>
        </w:rPr>
        <w:t xml:space="preserve">. </w:t>
      </w:r>
      <w:r w:rsidRPr="00D44E2B">
        <w:rPr>
          <w:rFonts w:ascii="Calibri" w:hAnsi="Calibri" w:cs="Calibri"/>
          <w:kern w:val="0"/>
          <w:sz w:val="24"/>
          <w:szCs w:val="24"/>
          <w14:ligatures w14:val="none"/>
        </w:rPr>
        <w:t>Las variables macroeconómicas y la demanda de la industria hotelera mexicana, período 2010-2016</w:t>
      </w:r>
      <w:r w:rsidR="00175AF0">
        <w:rPr>
          <w:rFonts w:ascii="Calibri" w:hAnsi="Calibri" w:cs="Calibri"/>
          <w:kern w:val="0"/>
          <w:sz w:val="24"/>
          <w:szCs w:val="24"/>
          <w14:ligatures w14:val="none"/>
        </w:rPr>
        <w:t>.</w:t>
      </w:r>
      <w:r w:rsidRPr="00D44E2B">
        <w:rPr>
          <w:rFonts w:ascii="Calibri" w:hAnsi="Calibri" w:cs="Calibri"/>
          <w:kern w:val="0"/>
          <w:sz w:val="24"/>
          <w:szCs w:val="24"/>
          <w14:ligatures w14:val="none"/>
        </w:rPr>
        <w:t xml:space="preserve"> </w:t>
      </w:r>
      <w:r w:rsidRPr="009A06B8">
        <w:rPr>
          <w:rFonts w:ascii="Calibri" w:hAnsi="Calibri" w:cs="Calibri"/>
          <w:kern w:val="0"/>
          <w:sz w:val="24"/>
          <w:szCs w:val="24"/>
          <w14:ligatures w14:val="none"/>
        </w:rPr>
        <w:t xml:space="preserve">RAN. </w:t>
      </w:r>
      <w:r w:rsidRPr="009A06B8">
        <w:rPr>
          <w:rFonts w:ascii="Calibri" w:hAnsi="Calibri" w:cs="Calibri"/>
          <w:i/>
          <w:iCs/>
          <w:kern w:val="0"/>
          <w:sz w:val="24"/>
          <w:szCs w:val="24"/>
          <w14:ligatures w14:val="none"/>
        </w:rPr>
        <w:t>Revista Academia y Negocios</w:t>
      </w:r>
      <w:r w:rsidRPr="009A06B8">
        <w:rPr>
          <w:rFonts w:ascii="Calibri" w:hAnsi="Calibri" w:cs="Calibri"/>
          <w:kern w:val="0"/>
          <w:sz w:val="24"/>
          <w:szCs w:val="24"/>
          <w14:ligatures w14:val="none"/>
        </w:rPr>
        <w:t xml:space="preserve">, 8(1), 97-110. </w:t>
      </w:r>
      <w:hyperlink r:id="rId55">
        <w:r w:rsidRPr="009A06B8">
          <w:rPr>
            <w:rFonts w:ascii="Calibri" w:hAnsi="Calibri" w:cs="Calibri"/>
            <w:color w:val="467886" w:themeColor="hyperlink"/>
            <w:kern w:val="0"/>
            <w:sz w:val="24"/>
            <w:szCs w:val="24"/>
            <w:u w:val="single"/>
            <w14:ligatures w14:val="none"/>
          </w:rPr>
          <w:t>https://doi.org/10.29393/ran8-8vmom30008</w:t>
        </w:r>
      </w:hyperlink>
    </w:p>
    <w:p w14:paraId="07AEC970" w14:textId="303D7FCF" w:rsidR="0049583F" w:rsidRPr="0012190E" w:rsidRDefault="0049583F" w:rsidP="003D0615">
      <w:pPr>
        <w:suppressAutoHyphens/>
        <w:spacing w:line="240" w:lineRule="auto"/>
        <w:ind w:left="709" w:hanging="709"/>
        <w:jc w:val="both"/>
        <w:rPr>
          <w:rFonts w:ascii="Calibri" w:hAnsi="Calibri" w:cs="Calibri"/>
          <w:color w:val="467886" w:themeColor="hyperlink"/>
          <w:kern w:val="0"/>
          <w:sz w:val="24"/>
          <w:szCs w:val="24"/>
          <w:u w:val="single"/>
          <w:lang w:val="fr-FR"/>
          <w14:ligatures w14:val="none"/>
        </w:rPr>
      </w:pPr>
      <w:r w:rsidRPr="00312769">
        <w:rPr>
          <w:rFonts w:ascii="Calibri" w:hAnsi="Calibri" w:cs="Calibri"/>
          <w:kern w:val="0"/>
          <w:sz w:val="24"/>
          <w:szCs w:val="24"/>
          <w14:ligatures w14:val="none"/>
        </w:rPr>
        <w:t>W</w:t>
      </w:r>
      <w:r w:rsidR="00312769" w:rsidRPr="00312769">
        <w:rPr>
          <w:rFonts w:ascii="Calibri" w:hAnsi="Calibri" w:cs="Calibri"/>
          <w:kern w:val="0"/>
          <w:sz w:val="24"/>
          <w:szCs w:val="24"/>
          <w14:ligatures w14:val="none"/>
        </w:rPr>
        <w:t>ebster</w:t>
      </w:r>
      <w:r w:rsidRPr="00312769">
        <w:rPr>
          <w:rFonts w:ascii="Calibri" w:hAnsi="Calibri" w:cs="Calibri"/>
          <w:kern w:val="0"/>
          <w:sz w:val="24"/>
          <w:szCs w:val="24"/>
          <w14:ligatures w14:val="none"/>
        </w:rPr>
        <w:t xml:space="preserve">, C. </w:t>
      </w:r>
      <w:r w:rsidR="00714C79">
        <w:rPr>
          <w:rFonts w:ascii="Calibri" w:hAnsi="Calibri" w:cs="Calibri"/>
          <w:kern w:val="0"/>
          <w:sz w:val="24"/>
          <w:szCs w:val="24"/>
          <w14:ligatures w14:val="none"/>
        </w:rPr>
        <w:t>&amp;</w:t>
      </w:r>
      <w:r w:rsidRPr="00312769">
        <w:rPr>
          <w:rFonts w:ascii="Calibri" w:hAnsi="Calibri" w:cs="Calibri"/>
          <w:kern w:val="0"/>
          <w:sz w:val="24"/>
          <w:szCs w:val="24"/>
          <w14:ligatures w14:val="none"/>
        </w:rPr>
        <w:t xml:space="preserve"> I</w:t>
      </w:r>
      <w:r w:rsidR="00312769" w:rsidRPr="00312769">
        <w:rPr>
          <w:rFonts w:ascii="Calibri" w:hAnsi="Calibri" w:cs="Calibri"/>
          <w:kern w:val="0"/>
          <w:sz w:val="24"/>
          <w:szCs w:val="24"/>
          <w14:ligatures w14:val="none"/>
        </w:rPr>
        <w:t>vanov</w:t>
      </w:r>
      <w:r w:rsidRPr="00312769">
        <w:rPr>
          <w:rFonts w:ascii="Calibri" w:hAnsi="Calibri" w:cs="Calibri"/>
          <w:kern w:val="0"/>
          <w:sz w:val="24"/>
          <w:szCs w:val="24"/>
          <w14:ligatures w14:val="none"/>
        </w:rPr>
        <w:t>, S. (2014)</w:t>
      </w:r>
      <w:r w:rsidR="00312769" w:rsidRPr="00312769">
        <w:rPr>
          <w:rFonts w:ascii="Calibri" w:hAnsi="Calibri" w:cs="Calibri"/>
          <w:kern w:val="0"/>
          <w:sz w:val="24"/>
          <w:szCs w:val="24"/>
          <w14:ligatures w14:val="none"/>
        </w:rPr>
        <w:t xml:space="preserve">. </w:t>
      </w:r>
      <w:r w:rsidRPr="00D44E2B">
        <w:rPr>
          <w:rFonts w:ascii="Calibri" w:hAnsi="Calibri" w:cs="Calibri"/>
          <w:kern w:val="0"/>
          <w:sz w:val="24"/>
          <w:szCs w:val="24"/>
          <w:lang w:val="en-US"/>
          <w14:ligatures w14:val="none"/>
        </w:rPr>
        <w:t xml:space="preserve">Transforming competitiveness into economic benefits: Does tourism stimulate economic growth in more competitive </w:t>
      </w:r>
      <w:r w:rsidR="00312769" w:rsidRPr="00D44E2B">
        <w:rPr>
          <w:rFonts w:ascii="Calibri" w:hAnsi="Calibri" w:cs="Calibri"/>
          <w:kern w:val="0"/>
          <w:sz w:val="24"/>
          <w:szCs w:val="24"/>
          <w:lang w:val="en-US"/>
          <w14:ligatures w14:val="none"/>
        </w:rPr>
        <w:t>destinations?</w:t>
      </w:r>
      <w:r w:rsidRPr="00D44E2B">
        <w:rPr>
          <w:rFonts w:ascii="Calibri" w:hAnsi="Calibri" w:cs="Calibri"/>
          <w:kern w:val="0"/>
          <w:sz w:val="24"/>
          <w:szCs w:val="24"/>
          <w:lang w:val="en-US"/>
          <w14:ligatures w14:val="none"/>
        </w:rPr>
        <w:t xml:space="preserve"> </w:t>
      </w:r>
      <w:proofErr w:type="spellStart"/>
      <w:r w:rsidRPr="0012190E">
        <w:rPr>
          <w:rFonts w:ascii="Calibri" w:hAnsi="Calibri" w:cs="Calibri"/>
          <w:i/>
          <w:iCs/>
          <w:kern w:val="0"/>
          <w:sz w:val="24"/>
          <w:szCs w:val="24"/>
          <w:lang w:val="fr-FR"/>
          <w14:ligatures w14:val="none"/>
        </w:rPr>
        <w:t>Tourism</w:t>
      </w:r>
      <w:proofErr w:type="spellEnd"/>
      <w:r w:rsidRPr="0012190E">
        <w:rPr>
          <w:rFonts w:ascii="Calibri" w:hAnsi="Calibri" w:cs="Calibri"/>
          <w:i/>
          <w:iCs/>
          <w:kern w:val="0"/>
          <w:sz w:val="24"/>
          <w:szCs w:val="24"/>
          <w:lang w:val="fr-FR"/>
          <w14:ligatures w14:val="none"/>
        </w:rPr>
        <w:t xml:space="preserve"> Management</w:t>
      </w:r>
      <w:r w:rsidRPr="0012190E">
        <w:rPr>
          <w:rFonts w:ascii="Calibri" w:hAnsi="Calibri" w:cs="Calibri"/>
          <w:kern w:val="0"/>
          <w:sz w:val="24"/>
          <w:szCs w:val="24"/>
          <w:lang w:val="fr-FR"/>
          <w14:ligatures w14:val="none"/>
        </w:rPr>
        <w:t xml:space="preserve">, 40, 137-140. </w:t>
      </w:r>
      <w:hyperlink r:id="rId56">
        <w:r w:rsidRPr="0012190E">
          <w:rPr>
            <w:rFonts w:ascii="Calibri" w:hAnsi="Calibri" w:cs="Calibri"/>
            <w:color w:val="467886" w:themeColor="hyperlink"/>
            <w:kern w:val="0"/>
            <w:sz w:val="24"/>
            <w:szCs w:val="24"/>
            <w:u w:val="single"/>
            <w:lang w:val="fr-FR"/>
            <w14:ligatures w14:val="none"/>
          </w:rPr>
          <w:t>https://doi.org/10.1016/j.tourman.2013.06.003</w:t>
        </w:r>
      </w:hyperlink>
    </w:p>
    <w:p w14:paraId="57726FC7" w14:textId="3EE9B38E" w:rsidR="0049583F" w:rsidRPr="000840CC" w:rsidRDefault="0049583F" w:rsidP="003D0615">
      <w:pPr>
        <w:suppressAutoHyphens/>
        <w:spacing w:line="240" w:lineRule="auto"/>
        <w:ind w:left="709" w:hanging="709"/>
        <w:jc w:val="both"/>
        <w:rPr>
          <w:rFonts w:ascii="Calibri" w:hAnsi="Calibri" w:cs="Calibri"/>
          <w:kern w:val="0"/>
          <w:sz w:val="24"/>
          <w:szCs w:val="24"/>
          <w:lang w:val="en-US"/>
          <w14:ligatures w14:val="none"/>
        </w:rPr>
      </w:pPr>
      <w:proofErr w:type="spellStart"/>
      <w:r w:rsidRPr="0012190E">
        <w:rPr>
          <w:rFonts w:ascii="Calibri" w:hAnsi="Calibri" w:cs="Calibri"/>
          <w:kern w:val="0"/>
          <w:sz w:val="24"/>
          <w:szCs w:val="24"/>
          <w:lang w:val="fr-FR"/>
          <w14:ligatures w14:val="none"/>
        </w:rPr>
        <w:t>W</w:t>
      </w:r>
      <w:r w:rsidR="00312769" w:rsidRPr="0012190E">
        <w:rPr>
          <w:rFonts w:ascii="Calibri" w:hAnsi="Calibri" w:cs="Calibri"/>
          <w:kern w:val="0"/>
          <w:sz w:val="24"/>
          <w:szCs w:val="24"/>
          <w:lang w:val="fr-FR"/>
          <w14:ligatures w14:val="none"/>
        </w:rPr>
        <w:t>ooldridge</w:t>
      </w:r>
      <w:proofErr w:type="spellEnd"/>
      <w:r w:rsidRPr="0012190E">
        <w:rPr>
          <w:rFonts w:ascii="Calibri" w:hAnsi="Calibri" w:cs="Calibri"/>
          <w:kern w:val="0"/>
          <w:sz w:val="24"/>
          <w:szCs w:val="24"/>
          <w:lang w:val="fr-FR"/>
          <w14:ligatures w14:val="none"/>
        </w:rPr>
        <w:t>, M. J. (2010)</w:t>
      </w:r>
      <w:r w:rsidR="00312769" w:rsidRPr="0012190E">
        <w:rPr>
          <w:rFonts w:ascii="Calibri" w:hAnsi="Calibri" w:cs="Calibri"/>
          <w:kern w:val="0"/>
          <w:sz w:val="24"/>
          <w:szCs w:val="24"/>
          <w:lang w:val="fr-FR"/>
          <w14:ligatures w14:val="none"/>
        </w:rPr>
        <w:t xml:space="preserve">. </w:t>
      </w:r>
      <w:r w:rsidRPr="00D44E2B">
        <w:rPr>
          <w:rFonts w:ascii="Calibri" w:hAnsi="Calibri" w:cs="Calibri"/>
          <w:i/>
          <w:iCs/>
          <w:kern w:val="0"/>
          <w:sz w:val="24"/>
          <w:szCs w:val="24"/>
          <w14:ligatures w14:val="none"/>
        </w:rPr>
        <w:t>Introducción a la econometría. Un enfoque moderno</w:t>
      </w:r>
      <w:r w:rsidRPr="00D44E2B">
        <w:rPr>
          <w:rFonts w:ascii="Calibri" w:hAnsi="Calibri" w:cs="Calibri"/>
          <w:kern w:val="0"/>
          <w:sz w:val="24"/>
          <w:szCs w:val="24"/>
          <w14:ligatures w14:val="none"/>
        </w:rPr>
        <w:t xml:space="preserve">. 4ª. Edición. </w:t>
      </w:r>
      <w:r w:rsidRPr="000840CC">
        <w:rPr>
          <w:rFonts w:ascii="Calibri" w:hAnsi="Calibri" w:cs="Calibri"/>
          <w:kern w:val="0"/>
          <w:sz w:val="24"/>
          <w:szCs w:val="24"/>
          <w:lang w:val="en-US"/>
          <w14:ligatures w14:val="none"/>
        </w:rPr>
        <w:t xml:space="preserve">Cengage Learning </w:t>
      </w:r>
      <w:proofErr w:type="spellStart"/>
      <w:r w:rsidRPr="000840CC">
        <w:rPr>
          <w:rFonts w:ascii="Calibri" w:hAnsi="Calibri" w:cs="Calibri"/>
          <w:kern w:val="0"/>
          <w:sz w:val="24"/>
          <w:szCs w:val="24"/>
          <w:lang w:val="en-US"/>
          <w14:ligatures w14:val="none"/>
        </w:rPr>
        <w:t>Editores</w:t>
      </w:r>
      <w:proofErr w:type="spellEnd"/>
      <w:r w:rsidRPr="000840CC">
        <w:rPr>
          <w:rFonts w:ascii="Calibri" w:hAnsi="Calibri" w:cs="Calibri"/>
          <w:kern w:val="0"/>
          <w:sz w:val="24"/>
          <w:szCs w:val="24"/>
          <w:lang w:val="en-US"/>
          <w14:ligatures w14:val="none"/>
        </w:rPr>
        <w:t xml:space="preserve">, S.A. de C.V. México D.F. </w:t>
      </w:r>
      <w:bookmarkEnd w:id="5"/>
    </w:p>
    <w:p w14:paraId="5C3717EF" w14:textId="71171DC1" w:rsidR="0049583F" w:rsidRPr="0012190E" w:rsidRDefault="0049583F" w:rsidP="003D0615">
      <w:pPr>
        <w:suppressAutoHyphens/>
        <w:spacing w:line="240" w:lineRule="auto"/>
        <w:ind w:left="709" w:hanging="709"/>
        <w:jc w:val="both"/>
        <w:rPr>
          <w:rFonts w:ascii="Calibri" w:hAnsi="Calibri" w:cs="Calibri"/>
          <w:color w:val="467886" w:themeColor="hyperlink"/>
          <w:kern w:val="0"/>
          <w:sz w:val="24"/>
          <w:szCs w:val="24"/>
          <w:u w:val="single"/>
          <w:lang w:val="fr-FR"/>
          <w14:ligatures w14:val="none"/>
        </w:rPr>
      </w:pPr>
      <w:r w:rsidRPr="009A78FE">
        <w:rPr>
          <w:rFonts w:ascii="Calibri" w:hAnsi="Calibri" w:cs="Calibri"/>
          <w:kern w:val="0"/>
          <w:sz w:val="24"/>
          <w:szCs w:val="24"/>
          <w:lang w:val="de-DE"/>
          <w14:ligatures w14:val="none"/>
        </w:rPr>
        <w:t>Y</w:t>
      </w:r>
      <w:r w:rsidR="00312769" w:rsidRPr="009A78FE">
        <w:rPr>
          <w:rFonts w:ascii="Calibri" w:hAnsi="Calibri" w:cs="Calibri"/>
          <w:kern w:val="0"/>
          <w:sz w:val="24"/>
          <w:szCs w:val="24"/>
          <w:lang w:val="de-DE"/>
          <w14:ligatures w14:val="none"/>
        </w:rPr>
        <w:t>ang</w:t>
      </w:r>
      <w:r w:rsidRPr="009A78FE">
        <w:rPr>
          <w:rFonts w:ascii="Calibri" w:hAnsi="Calibri" w:cs="Calibri"/>
          <w:kern w:val="0"/>
          <w:sz w:val="24"/>
          <w:szCs w:val="24"/>
          <w:lang w:val="de-DE"/>
          <w14:ligatures w14:val="none"/>
        </w:rPr>
        <w:t>, C., L</w:t>
      </w:r>
      <w:r w:rsidR="00312769" w:rsidRPr="009A78FE">
        <w:rPr>
          <w:rFonts w:ascii="Calibri" w:hAnsi="Calibri" w:cs="Calibri"/>
          <w:kern w:val="0"/>
          <w:sz w:val="24"/>
          <w:szCs w:val="24"/>
          <w:lang w:val="de-DE"/>
          <w14:ligatures w14:val="none"/>
        </w:rPr>
        <w:t>in</w:t>
      </w:r>
      <w:r w:rsidRPr="009A78FE">
        <w:rPr>
          <w:rFonts w:ascii="Calibri" w:hAnsi="Calibri" w:cs="Calibri"/>
          <w:kern w:val="0"/>
          <w:sz w:val="24"/>
          <w:szCs w:val="24"/>
          <w:lang w:val="de-DE"/>
          <w14:ligatures w14:val="none"/>
        </w:rPr>
        <w:t xml:space="preserve">, H. </w:t>
      </w:r>
      <w:r w:rsidR="009A78FE" w:rsidRPr="009A78FE">
        <w:rPr>
          <w:rFonts w:ascii="Calibri" w:hAnsi="Calibri" w:cs="Calibri"/>
          <w:kern w:val="0"/>
          <w:sz w:val="24"/>
          <w:szCs w:val="24"/>
          <w:lang w:val="de-DE"/>
          <w14:ligatures w14:val="none"/>
        </w:rPr>
        <w:t>&amp;</w:t>
      </w:r>
      <w:r w:rsidRPr="009A78FE">
        <w:rPr>
          <w:rFonts w:ascii="Calibri" w:hAnsi="Calibri" w:cs="Calibri"/>
          <w:kern w:val="0"/>
          <w:sz w:val="24"/>
          <w:szCs w:val="24"/>
          <w:lang w:val="de-DE"/>
          <w14:ligatures w14:val="none"/>
        </w:rPr>
        <w:t xml:space="preserve"> H</w:t>
      </w:r>
      <w:r w:rsidR="00312769" w:rsidRPr="009A78FE">
        <w:rPr>
          <w:rFonts w:ascii="Calibri" w:hAnsi="Calibri" w:cs="Calibri"/>
          <w:kern w:val="0"/>
          <w:sz w:val="24"/>
          <w:szCs w:val="24"/>
          <w:lang w:val="de-DE"/>
          <w14:ligatures w14:val="none"/>
        </w:rPr>
        <w:t>an</w:t>
      </w:r>
      <w:r w:rsidRPr="009A78FE">
        <w:rPr>
          <w:rFonts w:ascii="Calibri" w:hAnsi="Calibri" w:cs="Calibri"/>
          <w:kern w:val="0"/>
          <w:sz w:val="24"/>
          <w:szCs w:val="24"/>
          <w:lang w:val="de-DE"/>
          <w14:ligatures w14:val="none"/>
        </w:rPr>
        <w:t>, C. (2010)</w:t>
      </w:r>
      <w:r w:rsidR="00312769" w:rsidRPr="009A78FE">
        <w:rPr>
          <w:rFonts w:ascii="Calibri" w:hAnsi="Calibri" w:cs="Calibri"/>
          <w:kern w:val="0"/>
          <w:sz w:val="24"/>
          <w:szCs w:val="24"/>
          <w:lang w:val="de-DE"/>
          <w14:ligatures w14:val="none"/>
        </w:rPr>
        <w:t xml:space="preserve">. </w:t>
      </w:r>
      <w:r w:rsidRPr="00D44E2B">
        <w:rPr>
          <w:rFonts w:ascii="Calibri" w:hAnsi="Calibri" w:cs="Calibri"/>
          <w:kern w:val="0"/>
          <w:sz w:val="24"/>
          <w:szCs w:val="24"/>
          <w:lang w:val="en-US"/>
          <w14:ligatures w14:val="none"/>
        </w:rPr>
        <w:t>Analysis of international tourist arrivals in China: The role of World Heritage Sites</w:t>
      </w:r>
      <w:r w:rsidR="00312769">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proofErr w:type="spellStart"/>
      <w:r w:rsidRPr="0012190E">
        <w:rPr>
          <w:rFonts w:ascii="Calibri" w:hAnsi="Calibri" w:cs="Calibri"/>
          <w:i/>
          <w:iCs/>
          <w:kern w:val="0"/>
          <w:sz w:val="24"/>
          <w:szCs w:val="24"/>
          <w:lang w:val="fr-FR"/>
          <w14:ligatures w14:val="none"/>
        </w:rPr>
        <w:t>Tourism</w:t>
      </w:r>
      <w:proofErr w:type="spellEnd"/>
      <w:r w:rsidRPr="0012190E">
        <w:rPr>
          <w:rFonts w:ascii="Calibri" w:hAnsi="Calibri" w:cs="Calibri"/>
          <w:i/>
          <w:iCs/>
          <w:kern w:val="0"/>
          <w:sz w:val="24"/>
          <w:szCs w:val="24"/>
          <w:lang w:val="fr-FR"/>
          <w14:ligatures w14:val="none"/>
        </w:rPr>
        <w:t xml:space="preserve"> Management</w:t>
      </w:r>
      <w:r w:rsidRPr="0012190E">
        <w:rPr>
          <w:rFonts w:ascii="Calibri" w:hAnsi="Calibri" w:cs="Calibri"/>
          <w:kern w:val="0"/>
          <w:sz w:val="24"/>
          <w:szCs w:val="24"/>
          <w:lang w:val="fr-FR"/>
          <w14:ligatures w14:val="none"/>
        </w:rPr>
        <w:t xml:space="preserve">, 31(6), 827-837. </w:t>
      </w:r>
      <w:r>
        <w:fldChar w:fldCharType="begin"/>
      </w:r>
      <w:r w:rsidRPr="00F0737F">
        <w:rPr>
          <w:lang w:val="fr-FR"/>
          <w:rPrChange w:id="10" w:author="Autor">
            <w:rPr/>
          </w:rPrChange>
        </w:rPr>
        <w:instrText>HYPERLINK "https://doi.org/10.1016/j.tourman.2009.08.008" \h</w:instrText>
      </w:r>
      <w:r>
        <w:fldChar w:fldCharType="separate"/>
      </w:r>
      <w:r w:rsidRPr="0012190E">
        <w:rPr>
          <w:rFonts w:ascii="Calibri" w:hAnsi="Calibri" w:cs="Calibri"/>
          <w:color w:val="467886" w:themeColor="hyperlink"/>
          <w:kern w:val="0"/>
          <w:sz w:val="24"/>
          <w:szCs w:val="24"/>
          <w:u w:val="single"/>
          <w:lang w:val="fr-FR"/>
          <w14:ligatures w14:val="none"/>
        </w:rPr>
        <w:t>https://doi.org/10.1016/j.tourman.2009.08.008</w:t>
      </w:r>
      <w:r>
        <w:fldChar w:fldCharType="end"/>
      </w:r>
    </w:p>
    <w:p w14:paraId="489E0237" w14:textId="15A68EFF" w:rsidR="0049583F" w:rsidRPr="00D44E2B" w:rsidRDefault="0049583F" w:rsidP="003D0615">
      <w:pPr>
        <w:suppressAutoHyphens/>
        <w:spacing w:line="240" w:lineRule="auto"/>
        <w:ind w:left="709" w:hanging="709"/>
        <w:jc w:val="both"/>
        <w:rPr>
          <w:rFonts w:ascii="Calibri" w:hAnsi="Calibri" w:cs="Calibri"/>
          <w:color w:val="467886" w:themeColor="hyperlink"/>
          <w:kern w:val="0"/>
          <w:sz w:val="24"/>
          <w:szCs w:val="24"/>
          <w:u w:val="single"/>
          <w:lang w:val="en-US"/>
          <w14:ligatures w14:val="none"/>
        </w:rPr>
      </w:pPr>
      <w:r w:rsidRPr="0012190E">
        <w:rPr>
          <w:rFonts w:ascii="Calibri" w:hAnsi="Calibri" w:cs="Calibri"/>
          <w:kern w:val="0"/>
          <w:sz w:val="24"/>
          <w:szCs w:val="24"/>
          <w:lang w:val="fr-FR"/>
          <w14:ligatures w14:val="none"/>
        </w:rPr>
        <w:t>Z</w:t>
      </w:r>
      <w:r w:rsidR="00312769" w:rsidRPr="0012190E">
        <w:rPr>
          <w:rFonts w:ascii="Calibri" w:hAnsi="Calibri" w:cs="Calibri"/>
          <w:kern w:val="0"/>
          <w:sz w:val="24"/>
          <w:szCs w:val="24"/>
          <w:lang w:val="fr-FR"/>
          <w14:ligatures w14:val="none"/>
        </w:rPr>
        <w:t>heng</w:t>
      </w:r>
      <w:r w:rsidRPr="0012190E">
        <w:rPr>
          <w:rFonts w:ascii="Calibri" w:hAnsi="Calibri" w:cs="Calibri"/>
          <w:kern w:val="0"/>
          <w:sz w:val="24"/>
          <w:szCs w:val="24"/>
          <w:lang w:val="fr-FR"/>
          <w14:ligatures w14:val="none"/>
        </w:rPr>
        <w:t>, D., L</w:t>
      </w:r>
      <w:r w:rsidR="00312769" w:rsidRPr="0012190E">
        <w:rPr>
          <w:rFonts w:ascii="Calibri" w:hAnsi="Calibri" w:cs="Calibri"/>
          <w:kern w:val="0"/>
          <w:sz w:val="24"/>
          <w:szCs w:val="24"/>
          <w:lang w:val="fr-FR"/>
          <w14:ligatures w14:val="none"/>
        </w:rPr>
        <w:t>uo</w:t>
      </w:r>
      <w:r w:rsidRPr="0012190E">
        <w:rPr>
          <w:rFonts w:ascii="Calibri" w:hAnsi="Calibri" w:cs="Calibri"/>
          <w:kern w:val="0"/>
          <w:sz w:val="24"/>
          <w:szCs w:val="24"/>
          <w:lang w:val="fr-FR"/>
          <w14:ligatures w14:val="none"/>
        </w:rPr>
        <w:t>, Q. y R</w:t>
      </w:r>
      <w:r w:rsidR="00312769" w:rsidRPr="0012190E">
        <w:rPr>
          <w:rFonts w:ascii="Calibri" w:hAnsi="Calibri" w:cs="Calibri"/>
          <w:kern w:val="0"/>
          <w:sz w:val="24"/>
          <w:szCs w:val="24"/>
          <w:lang w:val="fr-FR"/>
          <w14:ligatures w14:val="none"/>
        </w:rPr>
        <w:t>itchie</w:t>
      </w:r>
      <w:r w:rsidRPr="0012190E">
        <w:rPr>
          <w:rFonts w:ascii="Calibri" w:hAnsi="Calibri" w:cs="Calibri"/>
          <w:kern w:val="0"/>
          <w:sz w:val="24"/>
          <w:szCs w:val="24"/>
          <w:lang w:val="fr-FR"/>
          <w14:ligatures w14:val="none"/>
        </w:rPr>
        <w:t>, B. (2021)</w:t>
      </w:r>
      <w:r w:rsidR="00312769" w:rsidRPr="0012190E">
        <w:rPr>
          <w:rFonts w:ascii="Calibri" w:hAnsi="Calibri" w:cs="Calibri"/>
          <w:kern w:val="0"/>
          <w:sz w:val="24"/>
          <w:szCs w:val="24"/>
          <w:lang w:val="fr-FR"/>
          <w14:ligatures w14:val="none"/>
        </w:rPr>
        <w:t xml:space="preserve">. </w:t>
      </w:r>
      <w:r w:rsidRPr="00D44E2B">
        <w:rPr>
          <w:rFonts w:ascii="Calibri" w:hAnsi="Calibri" w:cs="Calibri"/>
          <w:kern w:val="0"/>
          <w:sz w:val="24"/>
          <w:szCs w:val="24"/>
          <w:lang w:val="en-US"/>
          <w14:ligatures w14:val="none"/>
        </w:rPr>
        <w:t xml:space="preserve">Afraid to travel after </w:t>
      </w:r>
      <w:r w:rsidR="00F76164">
        <w:rPr>
          <w:rFonts w:ascii="Calibri" w:hAnsi="Calibri" w:cs="Calibri"/>
          <w:kern w:val="0"/>
          <w:sz w:val="24"/>
          <w:szCs w:val="24"/>
          <w:lang w:val="en-US"/>
          <w14:ligatures w14:val="none"/>
        </w:rPr>
        <w:t>COVID</w:t>
      </w:r>
      <w:r w:rsidRPr="00D44E2B">
        <w:rPr>
          <w:rFonts w:ascii="Calibri" w:hAnsi="Calibri" w:cs="Calibri"/>
          <w:kern w:val="0"/>
          <w:sz w:val="24"/>
          <w:szCs w:val="24"/>
          <w:lang w:val="en-US"/>
          <w14:ligatures w14:val="none"/>
        </w:rPr>
        <w:t>-19? Self-protection, coping and resilience against pandemic</w:t>
      </w:r>
      <w:r w:rsidR="006878B5">
        <w:rPr>
          <w:rFonts w:ascii="Calibri" w:hAnsi="Calibri" w:cs="Calibri"/>
          <w:kern w:val="0"/>
          <w:sz w:val="24"/>
          <w:szCs w:val="24"/>
          <w:lang w:val="en-US"/>
          <w14:ligatures w14:val="none"/>
        </w:rPr>
        <w:t xml:space="preserve"> </w:t>
      </w:r>
      <w:r w:rsidRPr="00D44E2B">
        <w:rPr>
          <w:rFonts w:ascii="Calibri" w:hAnsi="Calibri" w:cs="Calibri"/>
          <w:kern w:val="0"/>
          <w:sz w:val="24"/>
          <w:szCs w:val="24"/>
          <w:lang w:val="en-US"/>
          <w14:ligatures w14:val="none"/>
        </w:rPr>
        <w:t>travel fear</w:t>
      </w:r>
      <w:r w:rsidR="00312769">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r w:rsidRPr="00D44E2B">
        <w:rPr>
          <w:rFonts w:ascii="Calibri" w:hAnsi="Calibri" w:cs="Calibri"/>
          <w:i/>
          <w:iCs/>
          <w:kern w:val="0"/>
          <w:sz w:val="24"/>
          <w:szCs w:val="24"/>
          <w:lang w:val="en-US"/>
          <w14:ligatures w14:val="none"/>
        </w:rPr>
        <w:t>Tourism Management</w:t>
      </w:r>
      <w:r w:rsidRPr="00D44E2B">
        <w:rPr>
          <w:rFonts w:ascii="Calibri" w:hAnsi="Calibri" w:cs="Calibri"/>
          <w:kern w:val="0"/>
          <w:sz w:val="24"/>
          <w:szCs w:val="24"/>
          <w:lang w:val="en-US"/>
          <w14:ligatures w14:val="none"/>
        </w:rPr>
        <w:t xml:space="preserve">, 83, 104261. </w:t>
      </w:r>
      <w:r w:rsidRPr="00D44E2B">
        <w:rPr>
          <w:rFonts w:ascii="Calibri" w:hAnsi="Calibri" w:cs="Calibri"/>
          <w:color w:val="467886" w:themeColor="hyperlink"/>
          <w:kern w:val="0"/>
          <w:sz w:val="24"/>
          <w:szCs w:val="24"/>
          <w:u w:val="single"/>
          <w:lang w:val="en-US"/>
          <w14:ligatures w14:val="none"/>
        </w:rPr>
        <w:t>https://doi.org/10.1016/j.tourman.2020.104261</w:t>
      </w:r>
    </w:p>
    <w:p w14:paraId="70C7E260" w14:textId="0CEED31E" w:rsidR="0049583F" w:rsidRDefault="0049583F" w:rsidP="003D0615">
      <w:pPr>
        <w:suppressAutoHyphens/>
        <w:spacing w:line="240" w:lineRule="auto"/>
        <w:ind w:left="709" w:hanging="709"/>
        <w:jc w:val="both"/>
      </w:pPr>
      <w:proofErr w:type="spellStart"/>
      <w:r w:rsidRPr="00B077F8">
        <w:rPr>
          <w:rFonts w:ascii="Calibri" w:hAnsi="Calibri" w:cs="Calibri"/>
          <w:kern w:val="0"/>
          <w:sz w:val="24"/>
          <w:szCs w:val="24"/>
          <w14:ligatures w14:val="none"/>
        </w:rPr>
        <w:t>Z</w:t>
      </w:r>
      <w:r w:rsidR="00B077F8" w:rsidRPr="00B077F8">
        <w:rPr>
          <w:rFonts w:ascii="Calibri" w:hAnsi="Calibri" w:cs="Calibri"/>
          <w:kern w:val="0"/>
          <w:sz w:val="24"/>
          <w:szCs w:val="24"/>
          <w14:ligatures w14:val="none"/>
        </w:rPr>
        <w:t>urub</w:t>
      </w:r>
      <w:proofErr w:type="spellEnd"/>
      <w:r w:rsidRPr="00B077F8">
        <w:rPr>
          <w:rFonts w:ascii="Calibri" w:hAnsi="Calibri" w:cs="Calibri"/>
          <w:kern w:val="0"/>
          <w:sz w:val="24"/>
          <w:szCs w:val="24"/>
          <w14:ligatures w14:val="none"/>
        </w:rPr>
        <w:t xml:space="preserve">, H., </w:t>
      </w:r>
      <w:proofErr w:type="spellStart"/>
      <w:r w:rsidRPr="00B077F8">
        <w:rPr>
          <w:rFonts w:ascii="Calibri" w:hAnsi="Calibri" w:cs="Calibri"/>
          <w:kern w:val="0"/>
          <w:sz w:val="24"/>
          <w:szCs w:val="24"/>
          <w14:ligatures w14:val="none"/>
        </w:rPr>
        <w:t>I</w:t>
      </w:r>
      <w:r w:rsidR="00B077F8" w:rsidRPr="00B077F8">
        <w:rPr>
          <w:rFonts w:ascii="Calibri" w:hAnsi="Calibri" w:cs="Calibri"/>
          <w:kern w:val="0"/>
          <w:sz w:val="24"/>
          <w:szCs w:val="24"/>
          <w14:ligatures w14:val="none"/>
        </w:rPr>
        <w:t>onescu</w:t>
      </w:r>
      <w:proofErr w:type="spellEnd"/>
      <w:r w:rsidRPr="00B077F8">
        <w:rPr>
          <w:rFonts w:ascii="Calibri" w:hAnsi="Calibri" w:cs="Calibri"/>
          <w:kern w:val="0"/>
          <w:sz w:val="24"/>
          <w:szCs w:val="24"/>
          <w14:ligatures w14:val="none"/>
        </w:rPr>
        <w:t xml:space="preserve">, A. y </w:t>
      </w:r>
      <w:proofErr w:type="spellStart"/>
      <w:r w:rsidRPr="00B077F8">
        <w:rPr>
          <w:rFonts w:ascii="Calibri" w:hAnsi="Calibri" w:cs="Calibri"/>
          <w:kern w:val="0"/>
          <w:sz w:val="24"/>
          <w:szCs w:val="24"/>
          <w14:ligatures w14:val="none"/>
        </w:rPr>
        <w:t>C</w:t>
      </w:r>
      <w:r w:rsidR="00B077F8" w:rsidRPr="00B077F8">
        <w:rPr>
          <w:rFonts w:ascii="Calibri" w:hAnsi="Calibri" w:cs="Calibri"/>
          <w:kern w:val="0"/>
          <w:sz w:val="24"/>
          <w:szCs w:val="24"/>
          <w14:ligatures w14:val="none"/>
        </w:rPr>
        <w:t>onstantin</w:t>
      </w:r>
      <w:proofErr w:type="spellEnd"/>
      <w:r w:rsidRPr="00B077F8">
        <w:rPr>
          <w:rFonts w:ascii="Calibri" w:hAnsi="Calibri" w:cs="Calibri"/>
          <w:kern w:val="0"/>
          <w:sz w:val="24"/>
          <w:szCs w:val="24"/>
          <w14:ligatures w14:val="none"/>
        </w:rPr>
        <w:t>, V. D. (2015)</w:t>
      </w:r>
      <w:r w:rsidR="00B077F8" w:rsidRPr="00B077F8">
        <w:rPr>
          <w:rFonts w:ascii="Calibri" w:hAnsi="Calibri" w:cs="Calibri"/>
          <w:kern w:val="0"/>
          <w:sz w:val="24"/>
          <w:szCs w:val="24"/>
          <w14:ligatures w14:val="none"/>
        </w:rPr>
        <w:t xml:space="preserve">. </w:t>
      </w:r>
      <w:r w:rsidRPr="00D44E2B">
        <w:rPr>
          <w:rFonts w:ascii="Calibri" w:hAnsi="Calibri" w:cs="Calibri"/>
          <w:kern w:val="0"/>
          <w:sz w:val="24"/>
          <w:szCs w:val="24"/>
          <w:lang w:val="en-US"/>
          <w14:ligatures w14:val="none"/>
        </w:rPr>
        <w:t>Measuring the Economic Impact of Tourism in European Emerging Markets</w:t>
      </w:r>
      <w:r w:rsidR="00B077F8">
        <w:rPr>
          <w:rFonts w:ascii="Calibri" w:hAnsi="Calibri" w:cs="Calibri"/>
          <w:kern w:val="0"/>
          <w:sz w:val="24"/>
          <w:szCs w:val="24"/>
          <w:lang w:val="en-US"/>
          <w14:ligatures w14:val="none"/>
        </w:rPr>
        <w:t>.</w:t>
      </w:r>
      <w:r w:rsidRPr="00D44E2B">
        <w:rPr>
          <w:rFonts w:ascii="Calibri" w:hAnsi="Calibri" w:cs="Calibri"/>
          <w:kern w:val="0"/>
          <w:sz w:val="24"/>
          <w:szCs w:val="24"/>
          <w:lang w:val="en-US"/>
          <w14:ligatures w14:val="none"/>
        </w:rPr>
        <w:t xml:space="preserve"> </w:t>
      </w:r>
      <w:proofErr w:type="spellStart"/>
      <w:r w:rsidRPr="009A06B8">
        <w:rPr>
          <w:rFonts w:ascii="Calibri" w:hAnsi="Calibri" w:cs="Calibri"/>
          <w:i/>
          <w:iCs/>
          <w:kern w:val="0"/>
          <w:sz w:val="24"/>
          <w:szCs w:val="24"/>
          <w14:ligatures w14:val="none"/>
        </w:rPr>
        <w:t>Procedia</w:t>
      </w:r>
      <w:proofErr w:type="spellEnd"/>
      <w:r w:rsidRPr="009A06B8">
        <w:rPr>
          <w:rFonts w:ascii="Calibri" w:hAnsi="Calibri" w:cs="Calibri"/>
          <w:i/>
          <w:iCs/>
          <w:kern w:val="0"/>
          <w:sz w:val="24"/>
          <w:szCs w:val="24"/>
          <w14:ligatures w14:val="none"/>
        </w:rPr>
        <w:t xml:space="preserve"> </w:t>
      </w:r>
      <w:proofErr w:type="spellStart"/>
      <w:r w:rsidRPr="009A06B8">
        <w:rPr>
          <w:rFonts w:ascii="Calibri" w:hAnsi="Calibri" w:cs="Calibri"/>
          <w:i/>
          <w:iCs/>
          <w:kern w:val="0"/>
          <w:sz w:val="24"/>
          <w:szCs w:val="24"/>
          <w14:ligatures w14:val="none"/>
        </w:rPr>
        <w:t>Economics</w:t>
      </w:r>
      <w:proofErr w:type="spellEnd"/>
      <w:r w:rsidRPr="009A06B8">
        <w:rPr>
          <w:rFonts w:ascii="Calibri" w:hAnsi="Calibri" w:cs="Calibri"/>
          <w:i/>
          <w:iCs/>
          <w:kern w:val="0"/>
          <w:sz w:val="24"/>
          <w:szCs w:val="24"/>
          <w14:ligatures w14:val="none"/>
        </w:rPr>
        <w:t xml:space="preserve"> and </w:t>
      </w:r>
      <w:proofErr w:type="spellStart"/>
      <w:r w:rsidRPr="009A06B8">
        <w:rPr>
          <w:rFonts w:ascii="Calibri" w:hAnsi="Calibri" w:cs="Calibri"/>
          <w:i/>
          <w:iCs/>
          <w:kern w:val="0"/>
          <w:sz w:val="24"/>
          <w:szCs w:val="24"/>
          <w14:ligatures w14:val="none"/>
        </w:rPr>
        <w:t>Finance</w:t>
      </w:r>
      <w:proofErr w:type="spellEnd"/>
      <w:r w:rsidRPr="009A06B8">
        <w:rPr>
          <w:rFonts w:ascii="Calibri" w:hAnsi="Calibri" w:cs="Calibri"/>
          <w:i/>
          <w:iCs/>
          <w:kern w:val="0"/>
          <w:sz w:val="24"/>
          <w:szCs w:val="24"/>
          <w14:ligatures w14:val="none"/>
        </w:rPr>
        <w:t xml:space="preserve">, </w:t>
      </w:r>
      <w:r w:rsidRPr="009A06B8">
        <w:rPr>
          <w:rFonts w:ascii="Calibri" w:hAnsi="Calibri" w:cs="Calibri"/>
          <w:kern w:val="0"/>
          <w:sz w:val="24"/>
          <w:szCs w:val="24"/>
          <w14:ligatures w14:val="none"/>
        </w:rPr>
        <w:t xml:space="preserve">32(15), 95-102. </w:t>
      </w:r>
      <w:hyperlink r:id="rId57">
        <w:r w:rsidRPr="00D44E2B">
          <w:rPr>
            <w:rFonts w:ascii="Calibri" w:hAnsi="Calibri" w:cs="Calibri"/>
            <w:color w:val="467886" w:themeColor="hyperlink"/>
            <w:kern w:val="0"/>
            <w:sz w:val="24"/>
            <w:szCs w:val="24"/>
            <w:u w:val="single"/>
            <w14:ligatures w14:val="none"/>
          </w:rPr>
          <w:t>https://doi.org/10.1016/s2212-5671(15)01369-6</w:t>
        </w:r>
      </w:hyperlink>
    </w:p>
    <w:sectPr w:rsidR="0049583F" w:rsidSect="00925CA3">
      <w:headerReference w:type="even" r:id="rId58"/>
      <w:headerReference w:type="default" r:id="rId59"/>
      <w:footerReference w:type="default" r:id="rId60"/>
      <w:headerReference w:type="first" r:id="rId61"/>
      <w:pgSz w:w="12240" w:h="15840"/>
      <w:pgMar w:top="1417" w:right="1701" w:bottom="1417" w:left="1701" w:header="426" w:footer="709"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or" w:initials="A">
    <w:p w14:paraId="0F5097C3" w14:textId="3636F203" w:rsidR="00723E95" w:rsidRDefault="00723E95">
      <w:pPr>
        <w:pStyle w:val="Textocomentario"/>
      </w:pPr>
      <w:r>
        <w:rPr>
          <w:rStyle w:val="Refdecomentario"/>
        </w:rPr>
        <w:annotationRef/>
      </w:r>
      <w:r>
        <w:t xml:space="preserve">Con coma o sin coma antes del “y”. Por favor revisar.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5097C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5097C3" w16cid:durableId="4CE8D4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7E56" w14:textId="77777777" w:rsidR="0046639F" w:rsidRDefault="0046639F" w:rsidP="00D44E2B">
      <w:pPr>
        <w:spacing w:after="0" w:line="240" w:lineRule="auto"/>
      </w:pPr>
      <w:r>
        <w:separator/>
      </w:r>
    </w:p>
  </w:endnote>
  <w:endnote w:type="continuationSeparator" w:id="0">
    <w:p w14:paraId="32260EB5" w14:textId="77777777" w:rsidR="0046639F" w:rsidRDefault="0046639F" w:rsidP="00D4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195525"/>
      <w:docPartObj>
        <w:docPartGallery w:val="Page Numbers (Bottom of Page)"/>
        <w:docPartUnique/>
      </w:docPartObj>
    </w:sdtPr>
    <w:sdtContent>
      <w:p w14:paraId="26694DA6" w14:textId="68602DAE" w:rsidR="009D7F2B" w:rsidRPr="0064655D" w:rsidRDefault="000203A6" w:rsidP="009D7F2B">
        <w:pPr>
          <w:pStyle w:val="Piedepgina"/>
          <w:jc w:val="center"/>
          <w:rPr>
            <w:rFonts w:cs="Calibri"/>
            <w:lang w:val="es-CR"/>
          </w:rPr>
        </w:pPr>
        <w:r>
          <w:fldChar w:fldCharType="begin"/>
        </w:r>
        <w:r>
          <w:instrText>PAGE   \* MERGEFORMAT</w:instrText>
        </w:r>
        <w:r>
          <w:fldChar w:fldCharType="separate"/>
        </w:r>
        <w:r>
          <w:rPr>
            <w:lang w:val="es-ES"/>
          </w:rPr>
          <w:t>2</w:t>
        </w:r>
        <w:r>
          <w:fldChar w:fldCharType="end"/>
        </w:r>
      </w:p>
      <w:p w14:paraId="142AB986" w14:textId="3458B1EB" w:rsidR="004B4807" w:rsidRDefault="004B4807" w:rsidP="009D7F2B">
        <w:pPr>
          <w:pStyle w:val="Sinespaciado"/>
          <w:jc w:val="center"/>
          <w:rPr>
            <w:rFonts w:cs="Calibri"/>
            <w:sz w:val="18"/>
            <w:szCs w:val="18"/>
            <w:lang w:bidi="en-US"/>
          </w:rPr>
        </w:pPr>
        <w:r>
          <w:rPr>
            <w:rFonts w:cs="Calibri"/>
            <w:sz w:val="18"/>
            <w:szCs w:val="18"/>
            <w:lang w:bidi="en-US"/>
          </w:rPr>
          <w:t xml:space="preserve">Carlos Gabriel Borbón Morales, León Alejandro </w:t>
        </w:r>
        <w:proofErr w:type="spellStart"/>
        <w:r>
          <w:rPr>
            <w:rFonts w:cs="Calibri"/>
            <w:sz w:val="18"/>
            <w:szCs w:val="18"/>
            <w:lang w:bidi="en-US"/>
          </w:rPr>
          <w:t>Cáñez</w:t>
        </w:r>
        <w:proofErr w:type="spellEnd"/>
        <w:r>
          <w:rPr>
            <w:rFonts w:cs="Calibri"/>
            <w:sz w:val="18"/>
            <w:szCs w:val="18"/>
            <w:lang w:bidi="en-US"/>
          </w:rPr>
          <w:t xml:space="preserve"> Cota y </w:t>
        </w:r>
        <w:r w:rsidR="00D020DC">
          <w:rPr>
            <w:rFonts w:cs="Calibri"/>
            <w:sz w:val="18"/>
            <w:szCs w:val="18"/>
            <w:lang w:bidi="en-US"/>
          </w:rPr>
          <w:t>Edgar Omar Rueda Puente</w:t>
        </w:r>
      </w:p>
      <w:p w14:paraId="66F591A2" w14:textId="7FBD1710" w:rsidR="009D7F2B" w:rsidRPr="0064655D" w:rsidRDefault="009D7F2B" w:rsidP="009D7F2B">
        <w:pPr>
          <w:pStyle w:val="Sinespaciado"/>
          <w:jc w:val="center"/>
          <w:rPr>
            <w:sz w:val="20"/>
            <w:szCs w:val="20"/>
          </w:rPr>
        </w:pPr>
        <w:r w:rsidRPr="00FC5BD1">
          <w:rPr>
            <w:rFonts w:cs="Calibri"/>
            <w:noProof/>
            <w:sz w:val="18"/>
            <w:szCs w:val="18"/>
            <w:lang w:val="en-US"/>
          </w:rPr>
          <w:drawing>
            <wp:inline distT="0" distB="0" distL="0" distR="0" wp14:anchorId="75E0EC69" wp14:editId="50DA5BF3">
              <wp:extent cx="836930" cy="295910"/>
              <wp:effectExtent l="0" t="0" r="1270" b="8890"/>
              <wp:docPr id="1167436298" name="Imagen 1167436298" descr="Licencia d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icencia de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5910"/>
                      </a:xfrm>
                      <a:prstGeom prst="rect">
                        <a:avLst/>
                      </a:prstGeom>
                      <a:noFill/>
                      <a:ln>
                        <a:noFill/>
                      </a:ln>
                    </pic:spPr>
                  </pic:pic>
                </a:graphicData>
              </a:graphic>
            </wp:inline>
          </w:drawing>
        </w:r>
        <w:r w:rsidRPr="0064655D">
          <w:rPr>
            <w:rFonts w:cs="Calibri"/>
            <w:sz w:val="18"/>
            <w:szCs w:val="18"/>
            <w:lang w:bidi="en-US"/>
          </w:rPr>
          <w:br/>
          <w:t xml:space="preserve">Revista Economía y Sociedad </w:t>
        </w:r>
        <w:proofErr w:type="spellStart"/>
        <w:r w:rsidRPr="0064655D">
          <w:rPr>
            <w:rFonts w:cs="Calibri"/>
            <w:sz w:val="18"/>
            <w:szCs w:val="18"/>
            <w:lang w:bidi="en-US"/>
          </w:rPr>
          <w:t>by</w:t>
        </w:r>
        <w:proofErr w:type="spellEnd"/>
        <w:r w:rsidRPr="0064655D">
          <w:rPr>
            <w:rFonts w:cs="Calibri"/>
            <w:sz w:val="18"/>
            <w:szCs w:val="18"/>
            <w:lang w:bidi="en-US"/>
          </w:rPr>
          <w:t xml:space="preserve"> </w:t>
        </w:r>
        <w:hyperlink r:id="rId2">
          <w:r w:rsidRPr="0064655D">
            <w:rPr>
              <w:rStyle w:val="EnlacedeInternet"/>
              <w:rFonts w:cs="Calibri"/>
              <w:color w:val="4374B7"/>
              <w:sz w:val="18"/>
              <w:szCs w:val="18"/>
              <w:lang w:bidi="en-US"/>
            </w:rPr>
            <w:t>Universidad Nacional</w:t>
          </w:r>
        </w:hyperlink>
        <w:r w:rsidRPr="0064655D">
          <w:rPr>
            <w:rFonts w:cs="Calibri"/>
            <w:sz w:val="18"/>
            <w:szCs w:val="18"/>
            <w:lang w:eastAsia="en-GB"/>
          </w:rPr>
          <w:t xml:space="preserve"> </w:t>
        </w:r>
        <w:proofErr w:type="spellStart"/>
        <w:r w:rsidRPr="0064655D">
          <w:rPr>
            <w:rFonts w:cs="Calibri"/>
            <w:sz w:val="18"/>
            <w:szCs w:val="18"/>
            <w:lang w:bidi="en-US"/>
          </w:rPr>
          <w:t>is</w:t>
        </w:r>
        <w:proofErr w:type="spellEnd"/>
        <w:r w:rsidRPr="0064655D">
          <w:rPr>
            <w:rFonts w:cs="Calibri"/>
            <w:sz w:val="18"/>
            <w:szCs w:val="18"/>
            <w:lang w:bidi="en-US"/>
          </w:rPr>
          <w:t xml:space="preserve"> </w:t>
        </w:r>
        <w:proofErr w:type="spellStart"/>
        <w:r w:rsidRPr="0064655D">
          <w:rPr>
            <w:rFonts w:cs="Calibri"/>
            <w:sz w:val="18"/>
            <w:szCs w:val="18"/>
            <w:lang w:bidi="en-US"/>
          </w:rPr>
          <w:t>licensed</w:t>
        </w:r>
        <w:proofErr w:type="spellEnd"/>
        <w:r w:rsidRPr="0064655D">
          <w:rPr>
            <w:rFonts w:cs="Calibri"/>
            <w:sz w:val="18"/>
            <w:szCs w:val="18"/>
            <w:lang w:bidi="en-US"/>
          </w:rPr>
          <w:t xml:space="preserve"> </w:t>
        </w:r>
        <w:proofErr w:type="spellStart"/>
        <w:r w:rsidRPr="0064655D">
          <w:rPr>
            <w:rFonts w:cs="Calibri"/>
            <w:sz w:val="18"/>
            <w:szCs w:val="18"/>
            <w:lang w:bidi="en-US"/>
          </w:rPr>
          <w:t>under</w:t>
        </w:r>
        <w:proofErr w:type="spellEnd"/>
        <w:r w:rsidRPr="0064655D">
          <w:rPr>
            <w:rFonts w:cs="Calibri"/>
            <w:sz w:val="18"/>
            <w:szCs w:val="18"/>
            <w:lang w:bidi="en-US"/>
          </w:rPr>
          <w:t xml:space="preserve"> a </w:t>
        </w:r>
        <w:hyperlink r:id="rId3">
          <w:r w:rsidRPr="0064655D">
            <w:rPr>
              <w:rStyle w:val="EnlacedeInternet"/>
              <w:rFonts w:cs="Calibri"/>
              <w:color w:val="4374B7"/>
              <w:sz w:val="18"/>
              <w:szCs w:val="18"/>
              <w:lang w:bidi="en-US"/>
            </w:rPr>
            <w:t>CreativeCommons Reconocimiento-NoComercial-CompartirIgual 4.0 Internacional License</w:t>
          </w:r>
        </w:hyperlink>
        <w:r w:rsidRPr="0064655D">
          <w:rPr>
            <w:rFonts w:cs="Calibri"/>
            <w:sz w:val="18"/>
            <w:szCs w:val="18"/>
            <w:lang w:bidi="en-US"/>
          </w:rPr>
          <w:t>.</w:t>
        </w:r>
        <w:r w:rsidRPr="0064655D">
          <w:rPr>
            <w:rFonts w:cs="Calibri"/>
            <w:sz w:val="18"/>
            <w:szCs w:val="18"/>
            <w:lang w:bidi="en-US"/>
          </w:rPr>
          <w:br/>
          <w:t xml:space="preserve">Creado a partir de la obra en </w:t>
        </w:r>
        <w:hyperlink r:id="rId4">
          <w:r w:rsidRPr="0064655D">
            <w:rPr>
              <w:rStyle w:val="EnlacedeInternet"/>
              <w:rFonts w:cs="Calibri"/>
              <w:color w:val="4374B7"/>
              <w:sz w:val="18"/>
              <w:szCs w:val="18"/>
              <w:lang w:bidi="en-US"/>
            </w:rPr>
            <w:t>http://www.revistas.una.ac.cr/index.php/economia</w:t>
          </w:r>
        </w:hyperlink>
      </w:p>
      <w:p w14:paraId="247B58DD" w14:textId="6B8CA7C5" w:rsidR="000203A6" w:rsidRDefault="00000000" w:rsidP="000203A6">
        <w:pPr>
          <w:pStyle w:val="Piedep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9C9B" w14:textId="77777777" w:rsidR="0046639F" w:rsidRDefault="0046639F" w:rsidP="00D44E2B">
      <w:pPr>
        <w:spacing w:after="0" w:line="240" w:lineRule="auto"/>
      </w:pPr>
      <w:r>
        <w:separator/>
      </w:r>
    </w:p>
  </w:footnote>
  <w:footnote w:type="continuationSeparator" w:id="0">
    <w:p w14:paraId="0D445F5C" w14:textId="77777777" w:rsidR="0046639F" w:rsidRDefault="0046639F" w:rsidP="00D44E2B">
      <w:pPr>
        <w:spacing w:after="0" w:line="240" w:lineRule="auto"/>
      </w:pPr>
      <w:r>
        <w:continuationSeparator/>
      </w:r>
    </w:p>
  </w:footnote>
  <w:footnote w:id="1">
    <w:p w14:paraId="5F24A8BF" w14:textId="1CF07420" w:rsidR="003A3FF4" w:rsidRPr="0064655D" w:rsidRDefault="003A3FF4" w:rsidP="003A3FF4">
      <w:pPr>
        <w:pStyle w:val="Textonotapie"/>
        <w:rPr>
          <w:lang w:val="pt-BR"/>
        </w:rPr>
      </w:pPr>
      <w:r w:rsidRPr="0064655D">
        <w:rPr>
          <w:lang w:val="pt-BR"/>
        </w:rPr>
        <w:t xml:space="preserve">DOI: </w:t>
      </w:r>
      <w:hyperlink r:id="rId1" w:history="1">
        <w:r w:rsidRPr="0064655D">
          <w:rPr>
            <w:rStyle w:val="Hipervnculo"/>
            <w:lang w:val="pt-BR"/>
          </w:rPr>
          <w:t>https://doi.org/10.15359/eys.30-67.</w:t>
        </w:r>
        <w:r w:rsidR="008D5BDF">
          <w:rPr>
            <w:rStyle w:val="Hipervnculo"/>
            <w:lang w:val="pt-BR"/>
          </w:rPr>
          <w:t>3</w:t>
        </w:r>
      </w:hyperlink>
    </w:p>
    <w:p w14:paraId="1C6A8965" w14:textId="76C9BEEB" w:rsidR="003A3FF4" w:rsidRPr="0064655D" w:rsidRDefault="003A3FF4" w:rsidP="003A3FF4">
      <w:pPr>
        <w:pStyle w:val="Textonotapie"/>
        <w:rPr>
          <w:lang w:val="es-CR"/>
        </w:rPr>
      </w:pPr>
      <w:r w:rsidRPr="0064655D">
        <w:rPr>
          <w:lang w:val="es-CR"/>
        </w:rPr>
        <w:t xml:space="preserve">Recibido: </w:t>
      </w:r>
      <w:r w:rsidR="00E84EAF">
        <w:rPr>
          <w:lang w:val="es-CR"/>
        </w:rPr>
        <w:t>6</w:t>
      </w:r>
      <w:r w:rsidRPr="0064655D">
        <w:rPr>
          <w:lang w:val="es-CR"/>
        </w:rPr>
        <w:t xml:space="preserve"> -</w:t>
      </w:r>
      <w:r w:rsidR="00E84EAF">
        <w:rPr>
          <w:lang w:val="es-CR"/>
        </w:rPr>
        <w:t>3</w:t>
      </w:r>
      <w:r w:rsidRPr="0064655D">
        <w:rPr>
          <w:lang w:val="es-CR"/>
        </w:rPr>
        <w:t>– 202</w:t>
      </w:r>
      <w:r w:rsidR="00E84EAF">
        <w:rPr>
          <w:lang w:val="es-CR"/>
        </w:rPr>
        <w:t>5</w:t>
      </w:r>
      <w:r w:rsidRPr="0064655D">
        <w:rPr>
          <w:lang w:val="es-CR"/>
        </w:rPr>
        <w:t xml:space="preserve">. Reenvío: </w:t>
      </w:r>
      <w:r w:rsidR="001E2E28">
        <w:rPr>
          <w:lang w:val="es-CR"/>
        </w:rPr>
        <w:t>6</w:t>
      </w:r>
      <w:r w:rsidRPr="0064655D">
        <w:rPr>
          <w:lang w:val="es-CR"/>
        </w:rPr>
        <w:t xml:space="preserve"> -</w:t>
      </w:r>
      <w:r w:rsidR="001E2E28">
        <w:rPr>
          <w:lang w:val="es-CR"/>
        </w:rPr>
        <w:t>6</w:t>
      </w:r>
      <w:r w:rsidRPr="0064655D">
        <w:rPr>
          <w:lang w:val="es-CR"/>
        </w:rPr>
        <w:t>-202</w:t>
      </w:r>
      <w:r w:rsidR="001E2E28">
        <w:rPr>
          <w:lang w:val="es-CR"/>
        </w:rPr>
        <w:t>5</w:t>
      </w:r>
      <w:r w:rsidR="008650CE">
        <w:rPr>
          <w:lang w:val="es-CR"/>
        </w:rPr>
        <w:t xml:space="preserve">, </w:t>
      </w:r>
      <w:r w:rsidR="00D45FEB">
        <w:rPr>
          <w:lang w:val="es-CR"/>
        </w:rPr>
        <w:t>9</w:t>
      </w:r>
      <w:r w:rsidR="008650CE" w:rsidRPr="0064655D">
        <w:rPr>
          <w:lang w:val="es-CR"/>
        </w:rPr>
        <w:t xml:space="preserve"> -</w:t>
      </w:r>
      <w:r w:rsidR="008650CE">
        <w:rPr>
          <w:lang w:val="es-CR"/>
        </w:rPr>
        <w:t>6</w:t>
      </w:r>
      <w:r w:rsidR="008650CE" w:rsidRPr="0064655D">
        <w:rPr>
          <w:lang w:val="es-CR"/>
        </w:rPr>
        <w:t>-202</w:t>
      </w:r>
      <w:r w:rsidR="008650CE">
        <w:rPr>
          <w:lang w:val="es-CR"/>
        </w:rPr>
        <w:t>5</w:t>
      </w:r>
      <w:r w:rsidR="001E2E28">
        <w:rPr>
          <w:lang w:val="es-CR"/>
        </w:rPr>
        <w:t>.</w:t>
      </w:r>
      <w:r w:rsidRPr="0064655D">
        <w:rPr>
          <w:lang w:val="es-CR"/>
        </w:rPr>
        <w:t xml:space="preserve"> Aceptado: </w:t>
      </w:r>
      <w:r w:rsidR="008650CE">
        <w:rPr>
          <w:lang w:val="es-CR"/>
        </w:rPr>
        <w:t>20</w:t>
      </w:r>
      <w:r w:rsidRPr="0064655D">
        <w:rPr>
          <w:lang w:val="es-CR"/>
        </w:rPr>
        <w:t xml:space="preserve"> -</w:t>
      </w:r>
      <w:r w:rsidR="008650CE">
        <w:rPr>
          <w:lang w:val="es-CR"/>
        </w:rPr>
        <w:t>6</w:t>
      </w:r>
      <w:r w:rsidRPr="0064655D">
        <w:rPr>
          <w:lang w:val="es-CR"/>
        </w:rPr>
        <w:t xml:space="preserve"> -202</w:t>
      </w:r>
      <w:r w:rsidR="008650CE">
        <w:rPr>
          <w:lang w:val="es-CR"/>
        </w:rPr>
        <w:t>5</w:t>
      </w:r>
      <w:r w:rsidRPr="0064655D">
        <w:rPr>
          <w:lang w:val="es-CR"/>
        </w:rPr>
        <w:t>. Publicado: 2</w:t>
      </w:r>
      <w:r w:rsidR="00F54F3A">
        <w:rPr>
          <w:lang w:val="es-CR"/>
        </w:rPr>
        <w:t>7</w:t>
      </w:r>
      <w:r w:rsidRPr="0064655D">
        <w:rPr>
          <w:lang w:val="es-CR"/>
        </w:rPr>
        <w:t xml:space="preserve"> -</w:t>
      </w:r>
      <w:r w:rsidR="00F54F3A">
        <w:rPr>
          <w:lang w:val="es-CR"/>
        </w:rPr>
        <w:t>6</w:t>
      </w:r>
      <w:r w:rsidRPr="0064655D">
        <w:rPr>
          <w:lang w:val="es-CR"/>
        </w:rPr>
        <w:t xml:space="preserve"> - 2025</w:t>
      </w:r>
    </w:p>
    <w:p w14:paraId="3E25B1A5" w14:textId="77777777" w:rsidR="003A3FF4" w:rsidRPr="0064655D" w:rsidRDefault="003A3FF4" w:rsidP="003A3FF4">
      <w:pPr>
        <w:pStyle w:val="Textonotapie"/>
        <w:rPr>
          <w:lang w:val="es-CR"/>
        </w:rPr>
      </w:pPr>
    </w:p>
    <w:p w14:paraId="0FD9B33F" w14:textId="56C8E583" w:rsidR="00D8564A" w:rsidRPr="009805A5" w:rsidRDefault="006F29BF" w:rsidP="004A7A35">
      <w:pPr>
        <w:pStyle w:val="Textonotapie"/>
        <w:jc w:val="both"/>
      </w:pPr>
      <w:r>
        <w:rPr>
          <w:rStyle w:val="Refdenotaalpie"/>
        </w:rPr>
        <w:footnoteRef/>
      </w:r>
      <w:r>
        <w:t xml:space="preserve"> </w:t>
      </w:r>
      <w:r w:rsidR="005B6B17">
        <w:t>Doctor en Ciencias Económicas</w:t>
      </w:r>
      <w:r w:rsidR="00240E47">
        <w:t xml:space="preserve">, </w:t>
      </w:r>
      <w:r w:rsidR="002459BE">
        <w:t xml:space="preserve">Centro de Investigación </w:t>
      </w:r>
      <w:r w:rsidR="007E35F9">
        <w:t>en Alimentación y Desarrollo</w:t>
      </w:r>
      <w:r w:rsidR="00EE2D9A">
        <w:t>, México. Correo electrónico:</w:t>
      </w:r>
      <w:r w:rsidR="009805A5">
        <w:t xml:space="preserve"> </w:t>
      </w:r>
      <w:hyperlink r:id="rId2" w:history="1">
        <w:r w:rsidR="004E0B30" w:rsidRPr="00972C86">
          <w:rPr>
            <w:rStyle w:val="Hipervnculo"/>
          </w:rPr>
          <w:t>cborbon@ciad.</w:t>
        </w:r>
        <w:r w:rsidR="004E0B30" w:rsidRPr="00972C86">
          <w:rPr>
            <w:rStyle w:val="Hipervnculo"/>
          </w:rPr>
          <w:t>mx</w:t>
        </w:r>
      </w:hyperlink>
      <w:r w:rsidR="009805A5">
        <w:t>, ORCID:</w:t>
      </w:r>
      <w:r w:rsidR="004E0B30">
        <w:t xml:space="preserve"> </w:t>
      </w:r>
      <w:hyperlink r:id="rId3" w:history="1">
        <w:r w:rsidR="004E0B30" w:rsidRPr="00972C86">
          <w:rPr>
            <w:rStyle w:val="Hipervnculo"/>
          </w:rPr>
          <w:t>https://orcid.org/0000-0002-6073-6672</w:t>
        </w:r>
      </w:hyperlink>
    </w:p>
  </w:footnote>
  <w:footnote w:id="2">
    <w:p w14:paraId="1080C248" w14:textId="7AB59D95" w:rsidR="00EC7209" w:rsidRPr="004A7A35" w:rsidRDefault="00EC7209" w:rsidP="004A7A35">
      <w:pPr>
        <w:pStyle w:val="Textonotapie"/>
        <w:jc w:val="both"/>
      </w:pPr>
      <w:r>
        <w:rPr>
          <w:rStyle w:val="Refdenotaalpie"/>
        </w:rPr>
        <w:footnoteRef/>
      </w:r>
      <w:r>
        <w:t xml:space="preserve"> </w:t>
      </w:r>
      <w:r w:rsidR="004A7A35">
        <w:t xml:space="preserve">Doctor en </w:t>
      </w:r>
      <w:r w:rsidR="004A7A35">
        <w:t>Desarrollo Regional</w:t>
      </w:r>
      <w:r w:rsidR="004A7A35">
        <w:t xml:space="preserve">, Universidad de Sonora, México. Correo electrónico: </w:t>
      </w:r>
      <w:hyperlink r:id="rId4" w:history="1">
        <w:r w:rsidR="004A7A35" w:rsidRPr="00972C86">
          <w:rPr>
            <w:rStyle w:val="Hipervnculo"/>
          </w:rPr>
          <w:t>alejandro.canez@unison.mx</w:t>
        </w:r>
      </w:hyperlink>
      <w:r w:rsidR="004A7A35">
        <w:t xml:space="preserve">, ORCID: </w:t>
      </w:r>
      <w:hyperlink r:id="rId5" w:history="1">
        <w:r w:rsidR="004A7A35" w:rsidRPr="00972C86">
          <w:rPr>
            <w:rStyle w:val="Hipervnculo"/>
          </w:rPr>
          <w:t>https://orcid.org/0000-0001-8946-524X</w:t>
        </w:r>
      </w:hyperlink>
    </w:p>
  </w:footnote>
  <w:footnote w:id="3">
    <w:p w14:paraId="2EF830EF" w14:textId="404B3CB5" w:rsidR="00EC7209" w:rsidRPr="00242AA7" w:rsidRDefault="00EC7209">
      <w:pPr>
        <w:pStyle w:val="Textonotapie"/>
      </w:pPr>
      <w:r>
        <w:rPr>
          <w:rStyle w:val="Refdenotaalpie"/>
        </w:rPr>
        <w:footnoteRef/>
      </w:r>
      <w:r>
        <w:t xml:space="preserve"> </w:t>
      </w:r>
      <w:r w:rsidR="00FE14D6">
        <w:t xml:space="preserve">Doctor en Ciencias, </w:t>
      </w:r>
      <w:r w:rsidR="00FE14D6">
        <w:t>Universidad de Sonora, México.</w:t>
      </w:r>
      <w:r w:rsidR="00FE14D6">
        <w:t xml:space="preserve"> </w:t>
      </w:r>
      <w:r w:rsidR="00FE14D6">
        <w:t>Correo electrónico:</w:t>
      </w:r>
      <w:r w:rsidR="00FE14D6">
        <w:t xml:space="preserve"> </w:t>
      </w:r>
      <w:hyperlink r:id="rId6" w:history="1">
        <w:r w:rsidR="00242AA7" w:rsidRPr="00972C86">
          <w:rPr>
            <w:rStyle w:val="Hipervnculo"/>
          </w:rPr>
          <w:t>edgar.rueda@unison.mx</w:t>
        </w:r>
      </w:hyperlink>
      <w:r w:rsidR="00242AA7">
        <w:t xml:space="preserve">, ORCID: </w:t>
      </w:r>
      <w:hyperlink r:id="rId7" w:history="1">
        <w:r w:rsidR="00242AA7" w:rsidRPr="00972C86">
          <w:rPr>
            <w:rStyle w:val="Hipervnculo"/>
          </w:rPr>
          <w:t>https://orcid.org/0000-0002-9724-0558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55DA" w14:textId="51A78B78" w:rsidR="006842CA" w:rsidRDefault="006842CA">
    <w:pPr>
      <w:pStyle w:val="Encabezado"/>
    </w:pPr>
    <w:r>
      <w:rPr>
        <w:noProof/>
      </w:rPr>
      <w:pict w14:anchorId="777B5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854032" o:spid="_x0000_s1026" type="#_x0000_t136" style="position:absolute;margin-left:0;margin-top:0;width:436.1pt;height:186.9pt;rotation:315;z-index:-251651072;mso-position-horizontal:center;mso-position-horizontal-relative:margin;mso-position-vertical:center;mso-position-vertical-relative:margin" o:allowincell="f" fillcolor="#a5a5a5 [2092]" stroked="f">
          <v:fill opacity=".5"/>
          <v:textpath style="font-family:&quot;Calibri&quot;;font-size:1pt" string="Prepri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02FF" w14:textId="214FCF93" w:rsidR="005941A7" w:rsidRPr="0064655D" w:rsidRDefault="005941A7" w:rsidP="005941A7">
    <w:pPr>
      <w:pStyle w:val="Sinespaciado"/>
      <w:rPr>
        <w:rFonts w:cs="Calibri"/>
        <w:sz w:val="20"/>
        <w:szCs w:val="20"/>
      </w:rPr>
    </w:pPr>
    <w:r>
      <w:rPr>
        <w:lang w:val="en-US"/>
      </w:rPr>
      <w:pict w14:anchorId="6E48F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12673" o:spid="_x0000_s1028" type="#_x0000_t136" style="position:absolute;margin-left:0;margin-top:0;width:453.1pt;height:169.9pt;rotation:315;z-index:-251646976;mso-position-horizontal:center;mso-position-horizontal-relative:margin;mso-position-vertical:center;mso-position-vertical-relative:margin" o:allowincell="f" fillcolor="silver" stroked="f">
          <v:fill opacity=".5"/>
          <v:textpath style="font-family:&quot;Calibri&quot;;font-size:1pt" string="Pre-print"/>
          <w10:wrap anchorx="margin" anchory="margin"/>
        </v:shape>
      </w:pict>
    </w:r>
    <w:r w:rsidRPr="00FC5BD1">
      <w:rPr>
        <w:noProof/>
        <w:lang w:val="en-US"/>
      </w:rPr>
      <w:drawing>
        <wp:anchor distT="0" distB="0" distL="133350" distR="114300" simplePos="0" relativeHeight="251667456" behindDoc="1" locked="0" layoutInCell="1" allowOverlap="1" wp14:anchorId="0EAEADF5" wp14:editId="5E544E7E">
          <wp:simplePos x="0" y="0"/>
          <wp:positionH relativeFrom="column">
            <wp:posOffset>4768215</wp:posOffset>
          </wp:positionH>
          <wp:positionV relativeFrom="paragraph">
            <wp:posOffset>-40005</wp:posOffset>
          </wp:positionV>
          <wp:extent cx="1371600" cy="485775"/>
          <wp:effectExtent l="0" t="0" r="0" b="9525"/>
          <wp:wrapNone/>
          <wp:docPr id="1030855055" name="Imagen 103085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t="4219" r="4314" b="18642"/>
                  <a:stretch>
                    <a:fillRect/>
                  </a:stretch>
                </pic:blipFill>
                <pic:spPr bwMode="auto">
                  <a:xfrm>
                    <a:off x="0" y="0"/>
                    <a:ext cx="13716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55D">
      <w:rPr>
        <w:rFonts w:cs="Calibri"/>
        <w:sz w:val="20"/>
        <w:szCs w:val="20"/>
      </w:rPr>
      <w:t xml:space="preserve">Economía y Sociedad, Vol. 30, N. º 67, enero - junio </w:t>
    </w:r>
    <w:r w:rsidRPr="003C4823">
      <w:rPr>
        <w:rFonts w:cs="Calibri"/>
        <w:sz w:val="20"/>
        <w:szCs w:val="20"/>
      </w:rPr>
      <w:t>2025, pp</w:t>
    </w:r>
    <w:r w:rsidRPr="003C4823">
      <w:rPr>
        <w:rFonts w:cs="Calibri"/>
        <w:color w:val="C00000"/>
        <w:sz w:val="20"/>
        <w:szCs w:val="20"/>
      </w:rPr>
      <w:t xml:space="preserve">. </w:t>
    </w:r>
    <w:r w:rsidRPr="003C4823">
      <w:rPr>
        <w:rFonts w:cs="Calibri"/>
        <w:sz w:val="20"/>
        <w:szCs w:val="20"/>
      </w:rPr>
      <w:t>1-2</w:t>
    </w:r>
    <w:r w:rsidR="003C4823" w:rsidRPr="003C4823">
      <w:rPr>
        <w:rFonts w:cs="Calibri"/>
        <w:sz w:val="20"/>
        <w:szCs w:val="20"/>
      </w:rPr>
      <w:t>1</w:t>
    </w:r>
  </w:p>
  <w:p w14:paraId="5C6AF7BB" w14:textId="77777777" w:rsidR="005941A7" w:rsidRPr="0064655D" w:rsidRDefault="005941A7" w:rsidP="005941A7">
    <w:pPr>
      <w:pStyle w:val="Encabezado"/>
      <w:rPr>
        <w:rFonts w:cs="Calibri"/>
        <w:sz w:val="20"/>
        <w:szCs w:val="20"/>
        <w:lang w:val="de-DE"/>
      </w:rPr>
    </w:pPr>
    <w:r w:rsidRPr="00FC5BD1">
      <w:rPr>
        <w:noProof/>
      </w:rPr>
      <mc:AlternateContent>
        <mc:Choice Requires="wps">
          <w:drawing>
            <wp:anchor distT="0" distB="0" distL="114300" distR="114300" simplePos="0" relativeHeight="251668480" behindDoc="1" locked="0" layoutInCell="1" allowOverlap="1" wp14:anchorId="63542458" wp14:editId="2E032560">
              <wp:simplePos x="0" y="0"/>
              <wp:positionH relativeFrom="column">
                <wp:posOffset>-1186815</wp:posOffset>
              </wp:positionH>
              <wp:positionV relativeFrom="paragraph">
                <wp:posOffset>178435</wp:posOffset>
              </wp:positionV>
              <wp:extent cx="6002655" cy="1270"/>
              <wp:effectExtent l="0" t="0" r="93345" b="113030"/>
              <wp:wrapNone/>
              <wp:docPr id="115225163" name="Forma libre: forma 115225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2655" cy="1270"/>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noFill/>
                      <a:ln w="12600">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3781B" id="Forma libre: forma 115225163" o:spid="_x0000_s1026" style="position:absolute;margin-left:-93.45pt;margin-top:14.05pt;width:472.6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" path="m,l21600,21600e" filled="f" strokeweight=".35mm">
              <v:shadow on="t" opacity=".5" offset="6pt,6pt"/>
              <v:path arrowok="t" o:connecttype="custom" o:connectlocs="0,0;6002655,1270" o:connectangles="0,0"/>
            </v:shape>
          </w:pict>
        </mc:Fallback>
      </mc:AlternateContent>
    </w:r>
    <w:r w:rsidRPr="0064655D">
      <w:rPr>
        <w:rFonts w:cs="Calibri"/>
        <w:sz w:val="20"/>
        <w:szCs w:val="20"/>
        <w:lang w:val="de-DE"/>
      </w:rPr>
      <w:t>EISSN: 2215-3403   URL http://www.revistas.una.ac.cr/economia</w:t>
    </w:r>
  </w:p>
  <w:p w14:paraId="5B0317A1" w14:textId="77777777" w:rsidR="00ED0864" w:rsidRPr="005941A7" w:rsidRDefault="00ED0864" w:rsidP="005941A7">
    <w:pPr>
      <w:pStyle w:val="Encabezado"/>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2CCD" w14:textId="60FE1F3A" w:rsidR="006842CA" w:rsidRDefault="006842CA">
    <w:pPr>
      <w:pStyle w:val="Encabezado"/>
    </w:pPr>
    <w:r>
      <w:rPr>
        <w:noProof/>
      </w:rPr>
      <w:pict w14:anchorId="2A60D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854031" o:spid="_x0000_s1025" type="#_x0000_t136" style="position:absolute;margin-left:0;margin-top:0;width:436.1pt;height:186.9pt;rotation:315;z-index:-251653120;mso-position-horizontal:center;mso-position-horizontal-relative:margin;mso-position-vertical:center;mso-position-vertical-relative:margin" o:allowincell="f" fillcolor="#a5a5a5 [2092]" stroked="f">
          <v:fill opacity=".5"/>
          <v:textpath style="font-family:&quot;Calibri&quot;;font-size:1pt" string="Prepri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393"/>
    <w:multiLevelType w:val="multilevel"/>
    <w:tmpl w:val="615C9EE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08851AC"/>
    <w:multiLevelType w:val="multilevel"/>
    <w:tmpl w:val="CE9A9C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4448D"/>
    <w:multiLevelType w:val="multilevel"/>
    <w:tmpl w:val="2B84A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5C4277"/>
    <w:multiLevelType w:val="multilevel"/>
    <w:tmpl w:val="1C1E0D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6C1107"/>
    <w:multiLevelType w:val="multilevel"/>
    <w:tmpl w:val="E098BF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B48B1"/>
    <w:multiLevelType w:val="multilevel"/>
    <w:tmpl w:val="D326F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25486C"/>
    <w:multiLevelType w:val="hybridMultilevel"/>
    <w:tmpl w:val="E39ED7A4"/>
    <w:lvl w:ilvl="0" w:tplc="32427F7A">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52343">
    <w:abstractNumId w:val="3"/>
  </w:num>
  <w:num w:numId="2" w16cid:durableId="1716661565">
    <w:abstractNumId w:val="4"/>
  </w:num>
  <w:num w:numId="3" w16cid:durableId="807892423">
    <w:abstractNumId w:val="0"/>
  </w:num>
  <w:num w:numId="4" w16cid:durableId="2023125169">
    <w:abstractNumId w:val="6"/>
  </w:num>
  <w:num w:numId="5" w16cid:durableId="1462649043">
    <w:abstractNumId w:val="5"/>
  </w:num>
  <w:num w:numId="6" w16cid:durableId="1432899901">
    <w:abstractNumId w:val="1"/>
  </w:num>
  <w:num w:numId="7" w16cid:durableId="280038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3F"/>
    <w:rsid w:val="0000670E"/>
    <w:rsid w:val="00013E79"/>
    <w:rsid w:val="0001559F"/>
    <w:rsid w:val="000203A6"/>
    <w:rsid w:val="0002053A"/>
    <w:rsid w:val="00022E6B"/>
    <w:rsid w:val="0002625A"/>
    <w:rsid w:val="00030E41"/>
    <w:rsid w:val="000406AD"/>
    <w:rsid w:val="00053504"/>
    <w:rsid w:val="00060872"/>
    <w:rsid w:val="00062993"/>
    <w:rsid w:val="000840CC"/>
    <w:rsid w:val="0009164A"/>
    <w:rsid w:val="000A1FC9"/>
    <w:rsid w:val="000A75C2"/>
    <w:rsid w:val="000B0FDF"/>
    <w:rsid w:val="000B7577"/>
    <w:rsid w:val="000C34BB"/>
    <w:rsid w:val="000C401B"/>
    <w:rsid w:val="000C5FCE"/>
    <w:rsid w:val="000D0817"/>
    <w:rsid w:val="000D6D7C"/>
    <w:rsid w:val="000E71A8"/>
    <w:rsid w:val="000F7A7D"/>
    <w:rsid w:val="00106F04"/>
    <w:rsid w:val="00120442"/>
    <w:rsid w:val="0012190E"/>
    <w:rsid w:val="001450C7"/>
    <w:rsid w:val="00151F69"/>
    <w:rsid w:val="00155B6B"/>
    <w:rsid w:val="00161C5D"/>
    <w:rsid w:val="001666B4"/>
    <w:rsid w:val="00167FC5"/>
    <w:rsid w:val="00172131"/>
    <w:rsid w:val="001722A6"/>
    <w:rsid w:val="00175AF0"/>
    <w:rsid w:val="0018247C"/>
    <w:rsid w:val="001921DF"/>
    <w:rsid w:val="00193408"/>
    <w:rsid w:val="00194902"/>
    <w:rsid w:val="001A1A42"/>
    <w:rsid w:val="001A1CC9"/>
    <w:rsid w:val="001A5232"/>
    <w:rsid w:val="001C2457"/>
    <w:rsid w:val="001C48A7"/>
    <w:rsid w:val="001D1D91"/>
    <w:rsid w:val="001E0AB2"/>
    <w:rsid w:val="001E17CA"/>
    <w:rsid w:val="001E2E28"/>
    <w:rsid w:val="001E7EB3"/>
    <w:rsid w:val="001F5608"/>
    <w:rsid w:val="002015EC"/>
    <w:rsid w:val="00201EDA"/>
    <w:rsid w:val="0020255F"/>
    <w:rsid w:val="0020327E"/>
    <w:rsid w:val="00205752"/>
    <w:rsid w:val="00232A3F"/>
    <w:rsid w:val="00240E47"/>
    <w:rsid w:val="00241657"/>
    <w:rsid w:val="00242AA7"/>
    <w:rsid w:val="002459BE"/>
    <w:rsid w:val="00251791"/>
    <w:rsid w:val="00255330"/>
    <w:rsid w:val="0027703E"/>
    <w:rsid w:val="00280740"/>
    <w:rsid w:val="0028371B"/>
    <w:rsid w:val="002900E9"/>
    <w:rsid w:val="0029546F"/>
    <w:rsid w:val="00297D44"/>
    <w:rsid w:val="002A10CD"/>
    <w:rsid w:val="002A1D44"/>
    <w:rsid w:val="002D134F"/>
    <w:rsid w:val="002D1A2D"/>
    <w:rsid w:val="002D58A1"/>
    <w:rsid w:val="002D7D44"/>
    <w:rsid w:val="002E2A01"/>
    <w:rsid w:val="002E2ABE"/>
    <w:rsid w:val="002E6611"/>
    <w:rsid w:val="002E74E7"/>
    <w:rsid w:val="002F0393"/>
    <w:rsid w:val="002F13BB"/>
    <w:rsid w:val="003022D3"/>
    <w:rsid w:val="00312769"/>
    <w:rsid w:val="0031490E"/>
    <w:rsid w:val="00321AA0"/>
    <w:rsid w:val="00322D18"/>
    <w:rsid w:val="00333A64"/>
    <w:rsid w:val="00346A42"/>
    <w:rsid w:val="00347687"/>
    <w:rsid w:val="00372F0B"/>
    <w:rsid w:val="003805D0"/>
    <w:rsid w:val="003A2204"/>
    <w:rsid w:val="003A2937"/>
    <w:rsid w:val="003A3FF4"/>
    <w:rsid w:val="003A5628"/>
    <w:rsid w:val="003A6363"/>
    <w:rsid w:val="003B6C04"/>
    <w:rsid w:val="003B6C16"/>
    <w:rsid w:val="003C277F"/>
    <w:rsid w:val="003C4823"/>
    <w:rsid w:val="003D0615"/>
    <w:rsid w:val="003D2EB8"/>
    <w:rsid w:val="003D3A97"/>
    <w:rsid w:val="003D4966"/>
    <w:rsid w:val="003F17D7"/>
    <w:rsid w:val="003F3437"/>
    <w:rsid w:val="00401071"/>
    <w:rsid w:val="004051A7"/>
    <w:rsid w:val="00407456"/>
    <w:rsid w:val="00411E8C"/>
    <w:rsid w:val="004231E3"/>
    <w:rsid w:val="004253AE"/>
    <w:rsid w:val="0044546A"/>
    <w:rsid w:val="0045004F"/>
    <w:rsid w:val="004541AD"/>
    <w:rsid w:val="004632AC"/>
    <w:rsid w:val="00465BE7"/>
    <w:rsid w:val="0046639F"/>
    <w:rsid w:val="00474117"/>
    <w:rsid w:val="00474452"/>
    <w:rsid w:val="0047573F"/>
    <w:rsid w:val="00484190"/>
    <w:rsid w:val="00494BAA"/>
    <w:rsid w:val="0049583F"/>
    <w:rsid w:val="004A6309"/>
    <w:rsid w:val="004A75A4"/>
    <w:rsid w:val="004A7658"/>
    <w:rsid w:val="004A7A35"/>
    <w:rsid w:val="004B0CD0"/>
    <w:rsid w:val="004B1425"/>
    <w:rsid w:val="004B4571"/>
    <w:rsid w:val="004B4807"/>
    <w:rsid w:val="004B6980"/>
    <w:rsid w:val="004C091F"/>
    <w:rsid w:val="004C0AF1"/>
    <w:rsid w:val="004C191C"/>
    <w:rsid w:val="004C2A33"/>
    <w:rsid w:val="004C6B94"/>
    <w:rsid w:val="004E0B30"/>
    <w:rsid w:val="005031C7"/>
    <w:rsid w:val="00503767"/>
    <w:rsid w:val="00507ED9"/>
    <w:rsid w:val="00513046"/>
    <w:rsid w:val="00514E8A"/>
    <w:rsid w:val="00516300"/>
    <w:rsid w:val="00527EA9"/>
    <w:rsid w:val="00532300"/>
    <w:rsid w:val="00553041"/>
    <w:rsid w:val="005577E1"/>
    <w:rsid w:val="00564780"/>
    <w:rsid w:val="005941A7"/>
    <w:rsid w:val="005942EF"/>
    <w:rsid w:val="005B3A7C"/>
    <w:rsid w:val="005B619B"/>
    <w:rsid w:val="005B6B17"/>
    <w:rsid w:val="005C337B"/>
    <w:rsid w:val="005D6B9B"/>
    <w:rsid w:val="005E1559"/>
    <w:rsid w:val="005E15A4"/>
    <w:rsid w:val="005E3BFC"/>
    <w:rsid w:val="005E7F9D"/>
    <w:rsid w:val="005F384F"/>
    <w:rsid w:val="005F6D3E"/>
    <w:rsid w:val="006012F9"/>
    <w:rsid w:val="00605261"/>
    <w:rsid w:val="0060544D"/>
    <w:rsid w:val="00606B29"/>
    <w:rsid w:val="0061054A"/>
    <w:rsid w:val="00616034"/>
    <w:rsid w:val="00622B6D"/>
    <w:rsid w:val="00623828"/>
    <w:rsid w:val="006258D0"/>
    <w:rsid w:val="0063691F"/>
    <w:rsid w:val="00656AC1"/>
    <w:rsid w:val="00664E49"/>
    <w:rsid w:val="006742C1"/>
    <w:rsid w:val="00674F82"/>
    <w:rsid w:val="00682893"/>
    <w:rsid w:val="006842CA"/>
    <w:rsid w:val="006878B5"/>
    <w:rsid w:val="00687A82"/>
    <w:rsid w:val="00693768"/>
    <w:rsid w:val="00697B87"/>
    <w:rsid w:val="006A3D1A"/>
    <w:rsid w:val="006B6B87"/>
    <w:rsid w:val="006C39E8"/>
    <w:rsid w:val="006C4765"/>
    <w:rsid w:val="006C51F0"/>
    <w:rsid w:val="006D2184"/>
    <w:rsid w:val="006F29BF"/>
    <w:rsid w:val="007027F8"/>
    <w:rsid w:val="00702AB6"/>
    <w:rsid w:val="007056C1"/>
    <w:rsid w:val="0070646C"/>
    <w:rsid w:val="00706FFA"/>
    <w:rsid w:val="0071130A"/>
    <w:rsid w:val="007139ED"/>
    <w:rsid w:val="00713C3C"/>
    <w:rsid w:val="00713CD6"/>
    <w:rsid w:val="00714C79"/>
    <w:rsid w:val="007164DB"/>
    <w:rsid w:val="007203E2"/>
    <w:rsid w:val="00721B68"/>
    <w:rsid w:val="00723E95"/>
    <w:rsid w:val="00736322"/>
    <w:rsid w:val="00757647"/>
    <w:rsid w:val="0076552B"/>
    <w:rsid w:val="007727AF"/>
    <w:rsid w:val="007A1303"/>
    <w:rsid w:val="007A2A20"/>
    <w:rsid w:val="007A45CA"/>
    <w:rsid w:val="007B332C"/>
    <w:rsid w:val="007B487A"/>
    <w:rsid w:val="007C4F1A"/>
    <w:rsid w:val="007D37B0"/>
    <w:rsid w:val="007E1926"/>
    <w:rsid w:val="007E35F9"/>
    <w:rsid w:val="007F241B"/>
    <w:rsid w:val="007F2CF3"/>
    <w:rsid w:val="00800D90"/>
    <w:rsid w:val="0080642D"/>
    <w:rsid w:val="00807807"/>
    <w:rsid w:val="00817C72"/>
    <w:rsid w:val="00821D1C"/>
    <w:rsid w:val="00831E06"/>
    <w:rsid w:val="00843A84"/>
    <w:rsid w:val="00844DA5"/>
    <w:rsid w:val="0084575B"/>
    <w:rsid w:val="00853A48"/>
    <w:rsid w:val="008576A4"/>
    <w:rsid w:val="0086341B"/>
    <w:rsid w:val="008650CE"/>
    <w:rsid w:val="0087076C"/>
    <w:rsid w:val="008709AB"/>
    <w:rsid w:val="0088154D"/>
    <w:rsid w:val="00882BF9"/>
    <w:rsid w:val="0088435F"/>
    <w:rsid w:val="0088611C"/>
    <w:rsid w:val="00886CC9"/>
    <w:rsid w:val="008921BE"/>
    <w:rsid w:val="00892C46"/>
    <w:rsid w:val="008A1DCF"/>
    <w:rsid w:val="008A43A4"/>
    <w:rsid w:val="008C5104"/>
    <w:rsid w:val="008D5BDF"/>
    <w:rsid w:val="008D7C77"/>
    <w:rsid w:val="008E0F8D"/>
    <w:rsid w:val="008E5A14"/>
    <w:rsid w:val="008F0BDD"/>
    <w:rsid w:val="008F2249"/>
    <w:rsid w:val="008F35C1"/>
    <w:rsid w:val="008F362C"/>
    <w:rsid w:val="00900197"/>
    <w:rsid w:val="0090771E"/>
    <w:rsid w:val="00923921"/>
    <w:rsid w:val="00925CA3"/>
    <w:rsid w:val="009271C4"/>
    <w:rsid w:val="00927C32"/>
    <w:rsid w:val="0095084C"/>
    <w:rsid w:val="009522AB"/>
    <w:rsid w:val="00965713"/>
    <w:rsid w:val="009658DC"/>
    <w:rsid w:val="009725D3"/>
    <w:rsid w:val="00977A36"/>
    <w:rsid w:val="009804DF"/>
    <w:rsid w:val="009805A5"/>
    <w:rsid w:val="009A06B8"/>
    <w:rsid w:val="009A15DE"/>
    <w:rsid w:val="009A4E66"/>
    <w:rsid w:val="009A78FE"/>
    <w:rsid w:val="009B1C32"/>
    <w:rsid w:val="009B3194"/>
    <w:rsid w:val="009B5AC1"/>
    <w:rsid w:val="009D2E6B"/>
    <w:rsid w:val="009D6349"/>
    <w:rsid w:val="009D7F2B"/>
    <w:rsid w:val="009E7434"/>
    <w:rsid w:val="009F00C2"/>
    <w:rsid w:val="009F73BE"/>
    <w:rsid w:val="00A00B81"/>
    <w:rsid w:val="00A058EC"/>
    <w:rsid w:val="00A20B38"/>
    <w:rsid w:val="00A30204"/>
    <w:rsid w:val="00A307C7"/>
    <w:rsid w:val="00A36A34"/>
    <w:rsid w:val="00A51F85"/>
    <w:rsid w:val="00A521EC"/>
    <w:rsid w:val="00A57029"/>
    <w:rsid w:val="00A90191"/>
    <w:rsid w:val="00A901CA"/>
    <w:rsid w:val="00AA3E60"/>
    <w:rsid w:val="00AA53DB"/>
    <w:rsid w:val="00AB3544"/>
    <w:rsid w:val="00AB78C0"/>
    <w:rsid w:val="00AC477F"/>
    <w:rsid w:val="00AC650C"/>
    <w:rsid w:val="00AD5B7C"/>
    <w:rsid w:val="00AD7813"/>
    <w:rsid w:val="00AE163E"/>
    <w:rsid w:val="00AF2721"/>
    <w:rsid w:val="00AF2C86"/>
    <w:rsid w:val="00AF3F26"/>
    <w:rsid w:val="00AF6465"/>
    <w:rsid w:val="00B077F8"/>
    <w:rsid w:val="00B12A94"/>
    <w:rsid w:val="00B13B3C"/>
    <w:rsid w:val="00B13BFA"/>
    <w:rsid w:val="00B252FE"/>
    <w:rsid w:val="00B338F8"/>
    <w:rsid w:val="00B47E6F"/>
    <w:rsid w:val="00B535FC"/>
    <w:rsid w:val="00B54313"/>
    <w:rsid w:val="00B55C4D"/>
    <w:rsid w:val="00B62F92"/>
    <w:rsid w:val="00B66272"/>
    <w:rsid w:val="00B76353"/>
    <w:rsid w:val="00B766FC"/>
    <w:rsid w:val="00B8223A"/>
    <w:rsid w:val="00B84EDE"/>
    <w:rsid w:val="00B85E44"/>
    <w:rsid w:val="00B96193"/>
    <w:rsid w:val="00B97339"/>
    <w:rsid w:val="00BA34E8"/>
    <w:rsid w:val="00BA6E22"/>
    <w:rsid w:val="00BA76FB"/>
    <w:rsid w:val="00BB0622"/>
    <w:rsid w:val="00BB0B6D"/>
    <w:rsid w:val="00BB1571"/>
    <w:rsid w:val="00BB5D88"/>
    <w:rsid w:val="00BC292C"/>
    <w:rsid w:val="00BC341A"/>
    <w:rsid w:val="00BC3BE0"/>
    <w:rsid w:val="00BE4E4C"/>
    <w:rsid w:val="00BF1B94"/>
    <w:rsid w:val="00C03B97"/>
    <w:rsid w:val="00C202DE"/>
    <w:rsid w:val="00C242E1"/>
    <w:rsid w:val="00C36AB8"/>
    <w:rsid w:val="00C45164"/>
    <w:rsid w:val="00C46A11"/>
    <w:rsid w:val="00C47529"/>
    <w:rsid w:val="00C52865"/>
    <w:rsid w:val="00C5569C"/>
    <w:rsid w:val="00C556E0"/>
    <w:rsid w:val="00C60280"/>
    <w:rsid w:val="00C7506A"/>
    <w:rsid w:val="00C81465"/>
    <w:rsid w:val="00C9018F"/>
    <w:rsid w:val="00C93500"/>
    <w:rsid w:val="00C953F2"/>
    <w:rsid w:val="00C9761D"/>
    <w:rsid w:val="00CA446E"/>
    <w:rsid w:val="00CA5A51"/>
    <w:rsid w:val="00CB241D"/>
    <w:rsid w:val="00CB6C0A"/>
    <w:rsid w:val="00CC398B"/>
    <w:rsid w:val="00CC4392"/>
    <w:rsid w:val="00CD36FF"/>
    <w:rsid w:val="00CD4E59"/>
    <w:rsid w:val="00CE0EE2"/>
    <w:rsid w:val="00CF1085"/>
    <w:rsid w:val="00CF3BC4"/>
    <w:rsid w:val="00CF796C"/>
    <w:rsid w:val="00D020DC"/>
    <w:rsid w:val="00D10124"/>
    <w:rsid w:val="00D3742D"/>
    <w:rsid w:val="00D44E2B"/>
    <w:rsid w:val="00D45FEB"/>
    <w:rsid w:val="00D5573A"/>
    <w:rsid w:val="00D73A9B"/>
    <w:rsid w:val="00D76F00"/>
    <w:rsid w:val="00D8564A"/>
    <w:rsid w:val="00D97234"/>
    <w:rsid w:val="00DA6F6D"/>
    <w:rsid w:val="00DC206C"/>
    <w:rsid w:val="00DC2B4D"/>
    <w:rsid w:val="00DC3560"/>
    <w:rsid w:val="00DC467E"/>
    <w:rsid w:val="00DD2353"/>
    <w:rsid w:val="00DF05C9"/>
    <w:rsid w:val="00DF2748"/>
    <w:rsid w:val="00E02761"/>
    <w:rsid w:val="00E05497"/>
    <w:rsid w:val="00E25197"/>
    <w:rsid w:val="00E27EA2"/>
    <w:rsid w:val="00E40AAD"/>
    <w:rsid w:val="00E43743"/>
    <w:rsid w:val="00E44A08"/>
    <w:rsid w:val="00E460D9"/>
    <w:rsid w:val="00E575A5"/>
    <w:rsid w:val="00E67540"/>
    <w:rsid w:val="00E752C0"/>
    <w:rsid w:val="00E77DC6"/>
    <w:rsid w:val="00E77DEE"/>
    <w:rsid w:val="00E84EAF"/>
    <w:rsid w:val="00E921CB"/>
    <w:rsid w:val="00E962EF"/>
    <w:rsid w:val="00EA0176"/>
    <w:rsid w:val="00EA20D1"/>
    <w:rsid w:val="00EC5B99"/>
    <w:rsid w:val="00EC7209"/>
    <w:rsid w:val="00EC7FC9"/>
    <w:rsid w:val="00ED0864"/>
    <w:rsid w:val="00ED454C"/>
    <w:rsid w:val="00ED65A7"/>
    <w:rsid w:val="00ED7A82"/>
    <w:rsid w:val="00EE2D9A"/>
    <w:rsid w:val="00EE3327"/>
    <w:rsid w:val="00EE4766"/>
    <w:rsid w:val="00EE6DC7"/>
    <w:rsid w:val="00EF2A39"/>
    <w:rsid w:val="00F03708"/>
    <w:rsid w:val="00F0737F"/>
    <w:rsid w:val="00F12D17"/>
    <w:rsid w:val="00F14F2E"/>
    <w:rsid w:val="00F2047A"/>
    <w:rsid w:val="00F22CF3"/>
    <w:rsid w:val="00F26AE5"/>
    <w:rsid w:val="00F300CE"/>
    <w:rsid w:val="00F511EF"/>
    <w:rsid w:val="00F54F3A"/>
    <w:rsid w:val="00F55A45"/>
    <w:rsid w:val="00F60989"/>
    <w:rsid w:val="00F66E24"/>
    <w:rsid w:val="00F760FB"/>
    <w:rsid w:val="00F76164"/>
    <w:rsid w:val="00F81AA6"/>
    <w:rsid w:val="00F8304F"/>
    <w:rsid w:val="00FA2172"/>
    <w:rsid w:val="00FA4146"/>
    <w:rsid w:val="00FA526A"/>
    <w:rsid w:val="00FB0373"/>
    <w:rsid w:val="00FB196B"/>
    <w:rsid w:val="00FC1EC6"/>
    <w:rsid w:val="00FC4E54"/>
    <w:rsid w:val="00FC5A2D"/>
    <w:rsid w:val="00FD11F3"/>
    <w:rsid w:val="00FD1C65"/>
    <w:rsid w:val="00FE14D6"/>
    <w:rsid w:val="00FF0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C60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49583F"/>
  </w:style>
  <w:style w:type="paragraph" w:styleId="Ttulo1">
    <w:name w:val="heading 1"/>
    <w:basedOn w:val="Normal"/>
    <w:next w:val="Normal"/>
    <w:link w:val="Ttulo1Car"/>
    <w:uiPriority w:val="9"/>
    <w:qFormat/>
    <w:rsid w:val="00495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5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58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58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58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58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58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58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58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8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58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58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58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58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58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58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58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583F"/>
    <w:rPr>
      <w:rFonts w:eastAsiaTheme="majorEastAsia" w:cstheme="majorBidi"/>
      <w:color w:val="272727" w:themeColor="text1" w:themeTint="D8"/>
    </w:rPr>
  </w:style>
  <w:style w:type="paragraph" w:styleId="Ttulo">
    <w:name w:val="Title"/>
    <w:basedOn w:val="Normal"/>
    <w:next w:val="Normal"/>
    <w:link w:val="TtuloCar"/>
    <w:uiPriority w:val="10"/>
    <w:qFormat/>
    <w:rsid w:val="00495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58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58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58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583F"/>
    <w:pPr>
      <w:spacing w:before="160"/>
      <w:jc w:val="center"/>
    </w:pPr>
    <w:rPr>
      <w:i/>
      <w:iCs/>
      <w:color w:val="404040" w:themeColor="text1" w:themeTint="BF"/>
    </w:rPr>
  </w:style>
  <w:style w:type="character" w:customStyle="1" w:styleId="CitaCar">
    <w:name w:val="Cita Car"/>
    <w:basedOn w:val="Fuentedeprrafopredeter"/>
    <w:link w:val="Cita"/>
    <w:uiPriority w:val="29"/>
    <w:rsid w:val="0049583F"/>
    <w:rPr>
      <w:i/>
      <w:iCs/>
      <w:color w:val="404040" w:themeColor="text1" w:themeTint="BF"/>
    </w:rPr>
  </w:style>
  <w:style w:type="paragraph" w:styleId="Prrafodelista">
    <w:name w:val="List Paragraph"/>
    <w:basedOn w:val="Normal"/>
    <w:uiPriority w:val="34"/>
    <w:qFormat/>
    <w:rsid w:val="0049583F"/>
    <w:pPr>
      <w:ind w:left="720"/>
      <w:contextualSpacing/>
    </w:pPr>
  </w:style>
  <w:style w:type="character" w:styleId="nfasisintenso">
    <w:name w:val="Intense Emphasis"/>
    <w:basedOn w:val="Fuentedeprrafopredeter"/>
    <w:uiPriority w:val="21"/>
    <w:qFormat/>
    <w:rsid w:val="0049583F"/>
    <w:rPr>
      <w:i/>
      <w:iCs/>
      <w:color w:val="0F4761" w:themeColor="accent1" w:themeShade="BF"/>
    </w:rPr>
  </w:style>
  <w:style w:type="paragraph" w:styleId="Citadestacada">
    <w:name w:val="Intense Quote"/>
    <w:basedOn w:val="Normal"/>
    <w:next w:val="Normal"/>
    <w:link w:val="CitadestacadaCar"/>
    <w:uiPriority w:val="30"/>
    <w:qFormat/>
    <w:rsid w:val="00495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583F"/>
    <w:rPr>
      <w:i/>
      <w:iCs/>
      <w:color w:val="0F4761" w:themeColor="accent1" w:themeShade="BF"/>
    </w:rPr>
  </w:style>
  <w:style w:type="character" w:styleId="Referenciaintensa">
    <w:name w:val="Intense Reference"/>
    <w:basedOn w:val="Fuentedeprrafopredeter"/>
    <w:uiPriority w:val="32"/>
    <w:qFormat/>
    <w:rsid w:val="0049583F"/>
    <w:rPr>
      <w:b/>
      <w:bCs/>
      <w:smallCaps/>
      <w:color w:val="0F4761" w:themeColor="accent1" w:themeShade="BF"/>
      <w:spacing w:val="5"/>
    </w:rPr>
  </w:style>
  <w:style w:type="numbering" w:customStyle="1" w:styleId="Sinlista1">
    <w:name w:val="Sin lista1"/>
    <w:next w:val="Sinlista"/>
    <w:uiPriority w:val="99"/>
    <w:semiHidden/>
    <w:unhideWhenUsed/>
    <w:rsid w:val="0049583F"/>
  </w:style>
  <w:style w:type="character" w:styleId="Hipervnculo">
    <w:name w:val="Hyperlink"/>
    <w:basedOn w:val="Fuentedeprrafopredeter"/>
    <w:uiPriority w:val="99"/>
    <w:unhideWhenUsed/>
    <w:rsid w:val="0049583F"/>
    <w:rPr>
      <w:color w:val="467886" w:themeColor="hyperlink"/>
      <w:u w:val="single"/>
    </w:rPr>
  </w:style>
  <w:style w:type="character" w:styleId="Mencinsinresolver">
    <w:name w:val="Unresolved Mention"/>
    <w:basedOn w:val="Fuentedeprrafopredeter"/>
    <w:uiPriority w:val="99"/>
    <w:semiHidden/>
    <w:unhideWhenUsed/>
    <w:qFormat/>
    <w:rsid w:val="0049583F"/>
    <w:rPr>
      <w:color w:val="605E5C"/>
      <w:shd w:val="clear" w:color="auto" w:fill="E1DFDD"/>
    </w:rPr>
  </w:style>
  <w:style w:type="character" w:customStyle="1" w:styleId="TextonotapieCar">
    <w:name w:val="Texto nota pie Car"/>
    <w:basedOn w:val="Fuentedeprrafopredeter"/>
    <w:link w:val="Textonotapie"/>
    <w:uiPriority w:val="99"/>
    <w:semiHidden/>
    <w:qFormat/>
    <w:rsid w:val="0049583F"/>
    <w:rPr>
      <w:sz w:val="20"/>
      <w:szCs w:val="20"/>
    </w:rPr>
  </w:style>
  <w:style w:type="character" w:customStyle="1" w:styleId="FootnoteCharacters">
    <w:name w:val="Footnote Characters"/>
    <w:basedOn w:val="Fuentedeprrafopredeter"/>
    <w:uiPriority w:val="99"/>
    <w:semiHidden/>
    <w:unhideWhenUsed/>
    <w:qFormat/>
    <w:rsid w:val="0049583F"/>
    <w:rPr>
      <w:vertAlign w:val="superscript"/>
    </w:rPr>
  </w:style>
  <w:style w:type="character" w:customStyle="1" w:styleId="FootnoteAnchor">
    <w:name w:val="Footnote Anchor"/>
    <w:rsid w:val="0049583F"/>
    <w:rPr>
      <w:vertAlign w:val="superscript"/>
    </w:rPr>
  </w:style>
  <w:style w:type="character" w:styleId="Textodelmarcadordeposicin">
    <w:name w:val="Placeholder Text"/>
    <w:basedOn w:val="Fuentedeprrafopredeter"/>
    <w:uiPriority w:val="99"/>
    <w:semiHidden/>
    <w:qFormat/>
    <w:rsid w:val="0049583F"/>
    <w:rPr>
      <w:color w:val="808080"/>
    </w:rPr>
  </w:style>
  <w:style w:type="character" w:customStyle="1" w:styleId="EncabezadoCar">
    <w:name w:val="Encabezado Car"/>
    <w:basedOn w:val="Fuentedeprrafopredeter"/>
    <w:link w:val="Encabezado"/>
    <w:uiPriority w:val="99"/>
    <w:qFormat/>
    <w:rsid w:val="0049583F"/>
  </w:style>
  <w:style w:type="character" w:customStyle="1" w:styleId="PiedepginaCar">
    <w:name w:val="Pie de página Car"/>
    <w:basedOn w:val="Fuentedeprrafopredeter"/>
    <w:link w:val="Piedepgina"/>
    <w:uiPriority w:val="99"/>
    <w:qFormat/>
    <w:rsid w:val="0049583F"/>
  </w:style>
  <w:style w:type="character" w:styleId="AcrnimoHTML">
    <w:name w:val="HTML Acronym"/>
    <w:basedOn w:val="Fuentedeprrafopredeter"/>
    <w:uiPriority w:val="99"/>
    <w:semiHidden/>
    <w:unhideWhenUsed/>
    <w:qFormat/>
    <w:rsid w:val="0049583F"/>
  </w:style>
  <w:style w:type="character" w:styleId="Hipervnculovisitado">
    <w:name w:val="FollowedHyperlink"/>
    <w:basedOn w:val="Fuentedeprrafopredeter"/>
    <w:uiPriority w:val="99"/>
    <w:semiHidden/>
    <w:unhideWhenUsed/>
    <w:rsid w:val="0049583F"/>
    <w:rPr>
      <w:color w:val="96607D" w:themeColor="followedHyperlink"/>
      <w:u w:val="single"/>
    </w:rPr>
  </w:style>
  <w:style w:type="character" w:customStyle="1" w:styleId="LineNumbering">
    <w:name w:val="Line Numbering"/>
    <w:rsid w:val="0049583F"/>
  </w:style>
  <w:style w:type="paragraph" w:customStyle="1" w:styleId="Heading">
    <w:name w:val="Heading"/>
    <w:basedOn w:val="Normal"/>
    <w:next w:val="Textoindependiente"/>
    <w:qFormat/>
    <w:rsid w:val="0049583F"/>
    <w:pPr>
      <w:keepNext/>
      <w:suppressAutoHyphens/>
      <w:spacing w:before="240" w:after="120"/>
    </w:pPr>
    <w:rPr>
      <w:rFonts w:ascii="Liberation Sans" w:eastAsia="Noto Sans CJK SC" w:hAnsi="Liberation Sans" w:cs="Lohit Devanagari"/>
      <w:kern w:val="0"/>
      <w:sz w:val="28"/>
      <w:szCs w:val="28"/>
      <w14:ligatures w14:val="none"/>
    </w:rPr>
  </w:style>
  <w:style w:type="paragraph" w:styleId="Textoindependiente">
    <w:name w:val="Body Text"/>
    <w:basedOn w:val="Normal"/>
    <w:link w:val="TextoindependienteCar"/>
    <w:rsid w:val="0049583F"/>
    <w:pPr>
      <w:suppressAutoHyphens/>
      <w:spacing w:after="140" w:line="276" w:lineRule="auto"/>
    </w:pPr>
    <w:rPr>
      <w:kern w:val="0"/>
      <w14:ligatures w14:val="none"/>
    </w:rPr>
  </w:style>
  <w:style w:type="character" w:customStyle="1" w:styleId="TextoindependienteCar">
    <w:name w:val="Texto independiente Car"/>
    <w:basedOn w:val="Fuentedeprrafopredeter"/>
    <w:link w:val="Textoindependiente"/>
    <w:rsid w:val="0049583F"/>
    <w:rPr>
      <w:kern w:val="0"/>
      <w14:ligatures w14:val="none"/>
    </w:rPr>
  </w:style>
  <w:style w:type="paragraph" w:styleId="Lista">
    <w:name w:val="List"/>
    <w:basedOn w:val="Textoindependiente"/>
    <w:rsid w:val="0049583F"/>
    <w:rPr>
      <w:rFonts w:cs="Lohit Devanagari"/>
    </w:rPr>
  </w:style>
  <w:style w:type="paragraph" w:styleId="Descripcin">
    <w:name w:val="caption"/>
    <w:basedOn w:val="Normal"/>
    <w:next w:val="Normal"/>
    <w:uiPriority w:val="35"/>
    <w:unhideWhenUsed/>
    <w:qFormat/>
    <w:rsid w:val="0049583F"/>
    <w:pPr>
      <w:suppressAutoHyphens/>
      <w:spacing w:after="200" w:line="240" w:lineRule="auto"/>
    </w:pPr>
    <w:rPr>
      <w:i/>
      <w:iCs/>
      <w:color w:val="0E2841" w:themeColor="text2"/>
      <w:kern w:val="0"/>
      <w:sz w:val="18"/>
      <w:szCs w:val="18"/>
      <w14:ligatures w14:val="none"/>
    </w:rPr>
  </w:style>
  <w:style w:type="paragraph" w:customStyle="1" w:styleId="Index">
    <w:name w:val="Index"/>
    <w:basedOn w:val="Normal"/>
    <w:qFormat/>
    <w:rsid w:val="0049583F"/>
    <w:pPr>
      <w:suppressLineNumbers/>
      <w:suppressAutoHyphens/>
    </w:pPr>
    <w:rPr>
      <w:rFonts w:cs="Lohit Devanagari"/>
      <w:kern w:val="0"/>
      <w14:ligatures w14:val="none"/>
    </w:rPr>
  </w:style>
  <w:style w:type="paragraph" w:styleId="Textonotapie">
    <w:name w:val="footnote text"/>
    <w:basedOn w:val="Normal"/>
    <w:link w:val="TextonotapieCar"/>
    <w:uiPriority w:val="99"/>
    <w:semiHidden/>
    <w:unhideWhenUsed/>
    <w:rsid w:val="0049583F"/>
    <w:pPr>
      <w:suppressAutoHyphens/>
      <w:spacing w:after="0" w:line="240" w:lineRule="auto"/>
    </w:pPr>
    <w:rPr>
      <w:sz w:val="20"/>
      <w:szCs w:val="20"/>
    </w:rPr>
  </w:style>
  <w:style w:type="character" w:customStyle="1" w:styleId="TextonotapieCar1">
    <w:name w:val="Texto nota pie Car1"/>
    <w:basedOn w:val="Fuentedeprrafopredeter"/>
    <w:uiPriority w:val="99"/>
    <w:semiHidden/>
    <w:rsid w:val="0049583F"/>
    <w:rPr>
      <w:sz w:val="20"/>
      <w:szCs w:val="20"/>
    </w:rPr>
  </w:style>
  <w:style w:type="paragraph" w:customStyle="1" w:styleId="Default">
    <w:name w:val="Default"/>
    <w:qFormat/>
    <w:rsid w:val="0049583F"/>
    <w:pPr>
      <w:suppressAutoHyphens/>
      <w:spacing w:after="0" w:line="240" w:lineRule="auto"/>
    </w:pPr>
    <w:rPr>
      <w:rFonts w:ascii="Times New Roman" w:eastAsia="Calibri" w:hAnsi="Times New Roman" w:cs="Times New Roman"/>
      <w:color w:val="000000"/>
      <w:kern w:val="0"/>
      <w:sz w:val="24"/>
      <w:szCs w:val="24"/>
      <w14:ligatures w14:val="none"/>
    </w:rPr>
  </w:style>
  <w:style w:type="paragraph" w:customStyle="1" w:styleId="Pa0">
    <w:name w:val="Pa0"/>
    <w:basedOn w:val="Default"/>
    <w:next w:val="Default"/>
    <w:uiPriority w:val="99"/>
    <w:qFormat/>
    <w:rsid w:val="0049583F"/>
    <w:pPr>
      <w:spacing w:line="201" w:lineRule="atLeast"/>
    </w:pPr>
    <w:rPr>
      <w:color w:val="auto"/>
    </w:rPr>
  </w:style>
  <w:style w:type="paragraph" w:customStyle="1" w:styleId="HeaderandFooter">
    <w:name w:val="Header and Footer"/>
    <w:basedOn w:val="Normal"/>
    <w:qFormat/>
    <w:rsid w:val="0049583F"/>
    <w:pPr>
      <w:suppressAutoHyphens/>
    </w:pPr>
    <w:rPr>
      <w:kern w:val="0"/>
      <w14:ligatures w14:val="none"/>
    </w:rPr>
  </w:style>
  <w:style w:type="paragraph" w:styleId="Encabezado">
    <w:name w:val="header"/>
    <w:basedOn w:val="Normal"/>
    <w:link w:val="EncabezadoCar"/>
    <w:uiPriority w:val="99"/>
    <w:unhideWhenUsed/>
    <w:rsid w:val="0049583F"/>
    <w:pPr>
      <w:tabs>
        <w:tab w:val="center" w:pos="4419"/>
        <w:tab w:val="right" w:pos="8838"/>
      </w:tabs>
      <w:suppressAutoHyphens/>
      <w:spacing w:after="0" w:line="240" w:lineRule="auto"/>
    </w:pPr>
  </w:style>
  <w:style w:type="character" w:customStyle="1" w:styleId="EncabezadoCar1">
    <w:name w:val="Encabezado Car1"/>
    <w:basedOn w:val="Fuentedeprrafopredeter"/>
    <w:uiPriority w:val="99"/>
    <w:semiHidden/>
    <w:rsid w:val="0049583F"/>
  </w:style>
  <w:style w:type="paragraph" w:styleId="Piedepgina">
    <w:name w:val="footer"/>
    <w:basedOn w:val="Normal"/>
    <w:link w:val="PiedepginaCar"/>
    <w:uiPriority w:val="99"/>
    <w:unhideWhenUsed/>
    <w:rsid w:val="0049583F"/>
    <w:pPr>
      <w:tabs>
        <w:tab w:val="center" w:pos="4419"/>
        <w:tab w:val="right" w:pos="8838"/>
      </w:tabs>
      <w:suppressAutoHyphens/>
      <w:spacing w:after="0" w:line="240" w:lineRule="auto"/>
    </w:pPr>
  </w:style>
  <w:style w:type="character" w:customStyle="1" w:styleId="PiedepginaCar1">
    <w:name w:val="Pie de página Car1"/>
    <w:basedOn w:val="Fuentedeprrafopredeter"/>
    <w:uiPriority w:val="99"/>
    <w:semiHidden/>
    <w:rsid w:val="0049583F"/>
  </w:style>
  <w:style w:type="paragraph" w:customStyle="1" w:styleId="dx-doi">
    <w:name w:val="dx-doi"/>
    <w:basedOn w:val="Normal"/>
    <w:qFormat/>
    <w:rsid w:val="0049583F"/>
    <w:pPr>
      <w:suppressAutoHyphens/>
      <w:spacing w:beforeAutospacing="1"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FrameContents">
    <w:name w:val="Frame Contents"/>
    <w:basedOn w:val="Normal"/>
    <w:qFormat/>
    <w:rsid w:val="0049583F"/>
    <w:pPr>
      <w:suppressAutoHyphens/>
    </w:pPr>
    <w:rPr>
      <w:kern w:val="0"/>
      <w14:ligatures w14:val="none"/>
    </w:rPr>
  </w:style>
  <w:style w:type="paragraph" w:styleId="Textocomentario">
    <w:name w:val="annotation text"/>
    <w:basedOn w:val="Normal"/>
    <w:link w:val="TextocomentarioCar"/>
    <w:uiPriority w:val="99"/>
    <w:unhideWhenUsed/>
    <w:rsid w:val="0049583F"/>
    <w:pPr>
      <w:suppressAutoHyphens/>
      <w:spacing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rsid w:val="0049583F"/>
    <w:rPr>
      <w:kern w:val="0"/>
      <w:sz w:val="20"/>
      <w:szCs w:val="20"/>
      <w14:ligatures w14:val="none"/>
    </w:rPr>
  </w:style>
  <w:style w:type="character" w:styleId="Refdecomentario">
    <w:name w:val="annotation reference"/>
    <w:basedOn w:val="Fuentedeprrafopredeter"/>
    <w:uiPriority w:val="99"/>
    <w:semiHidden/>
    <w:unhideWhenUsed/>
    <w:rsid w:val="0049583F"/>
    <w:rPr>
      <w:sz w:val="16"/>
      <w:szCs w:val="16"/>
    </w:rPr>
  </w:style>
  <w:style w:type="paragraph" w:styleId="Revisin">
    <w:name w:val="Revision"/>
    <w:hidden/>
    <w:uiPriority w:val="99"/>
    <w:semiHidden/>
    <w:rsid w:val="0049583F"/>
    <w:pPr>
      <w:spacing w:after="0" w:line="240" w:lineRule="auto"/>
    </w:pPr>
    <w:rPr>
      <w:kern w:val="0"/>
      <w14:ligatures w14:val="none"/>
    </w:rPr>
  </w:style>
  <w:style w:type="paragraph" w:styleId="Asuntodelcomentario">
    <w:name w:val="annotation subject"/>
    <w:basedOn w:val="Textocomentario"/>
    <w:next w:val="Textocomentario"/>
    <w:link w:val="AsuntodelcomentarioCar"/>
    <w:uiPriority w:val="99"/>
    <w:semiHidden/>
    <w:unhideWhenUsed/>
    <w:rsid w:val="00AF6465"/>
    <w:pPr>
      <w:suppressAutoHyphens w:val="0"/>
    </w:pPr>
    <w:rPr>
      <w:b/>
      <w:bCs/>
      <w:kern w:val="2"/>
      <w14:ligatures w14:val="standardContextual"/>
    </w:rPr>
  </w:style>
  <w:style w:type="character" w:customStyle="1" w:styleId="AsuntodelcomentarioCar">
    <w:name w:val="Asunto del comentario Car"/>
    <w:basedOn w:val="TextocomentarioCar"/>
    <w:link w:val="Asuntodelcomentario"/>
    <w:uiPriority w:val="99"/>
    <w:semiHidden/>
    <w:rsid w:val="00AF6465"/>
    <w:rPr>
      <w:b/>
      <w:bCs/>
      <w:kern w:val="0"/>
      <w:sz w:val="20"/>
      <w:szCs w:val="20"/>
      <w14:ligatures w14:val="none"/>
    </w:rPr>
  </w:style>
  <w:style w:type="paragraph" w:styleId="Sinespaciado">
    <w:name w:val="No Spacing"/>
    <w:aliases w:val="AAAAAAAAAAA"/>
    <w:link w:val="SinespaciadoCar"/>
    <w:uiPriority w:val="1"/>
    <w:qFormat/>
    <w:rsid w:val="00925CA3"/>
    <w:pPr>
      <w:spacing w:after="0" w:line="240" w:lineRule="auto"/>
    </w:pPr>
    <w:rPr>
      <w:rFonts w:eastAsiaTheme="minorEastAsia"/>
      <w:kern w:val="0"/>
      <w:lang w:val="es-CR" w:eastAsia="es-CR"/>
      <w14:ligatures w14:val="none"/>
    </w:rPr>
  </w:style>
  <w:style w:type="character" w:customStyle="1" w:styleId="SinespaciadoCar">
    <w:name w:val="Sin espaciado Car"/>
    <w:aliases w:val="AAAAAAAAAAA Car"/>
    <w:basedOn w:val="Fuentedeprrafopredeter"/>
    <w:link w:val="Sinespaciado"/>
    <w:uiPriority w:val="1"/>
    <w:rsid w:val="00925CA3"/>
    <w:rPr>
      <w:rFonts w:eastAsiaTheme="minorEastAsia"/>
      <w:kern w:val="0"/>
      <w:lang w:val="es-CR" w:eastAsia="es-CR"/>
      <w14:ligatures w14:val="none"/>
    </w:rPr>
  </w:style>
  <w:style w:type="table" w:styleId="Tablanormal5">
    <w:name w:val="Plain Table 5"/>
    <w:basedOn w:val="Tablanormal"/>
    <w:uiPriority w:val="45"/>
    <w:rsid w:val="000916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0916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0916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0916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0916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notaalpie">
    <w:name w:val="footnote reference"/>
    <w:basedOn w:val="Fuentedeprrafopredeter"/>
    <w:uiPriority w:val="99"/>
    <w:semiHidden/>
    <w:unhideWhenUsed/>
    <w:rsid w:val="006F29BF"/>
    <w:rPr>
      <w:vertAlign w:val="superscript"/>
    </w:rPr>
  </w:style>
  <w:style w:type="character" w:customStyle="1" w:styleId="EnlacedeInternet">
    <w:name w:val="Enlace de Internet"/>
    <w:uiPriority w:val="99"/>
    <w:unhideWhenUsed/>
    <w:rsid w:val="009D7F2B"/>
    <w:rPr>
      <w:rFonts w:ascii="Calibri" w:hAnsi="Calibri"/>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1632">
      <w:bodyDiv w:val="1"/>
      <w:marLeft w:val="0"/>
      <w:marRight w:val="0"/>
      <w:marTop w:val="0"/>
      <w:marBottom w:val="0"/>
      <w:divBdr>
        <w:top w:val="none" w:sz="0" w:space="0" w:color="auto"/>
        <w:left w:val="none" w:sz="0" w:space="0" w:color="auto"/>
        <w:bottom w:val="none" w:sz="0" w:space="0" w:color="auto"/>
        <w:right w:val="none" w:sz="0" w:space="0" w:color="auto"/>
      </w:divBdr>
      <w:divsChild>
        <w:div w:id="1941331426">
          <w:marLeft w:val="0"/>
          <w:marRight w:val="0"/>
          <w:marTop w:val="0"/>
          <w:marBottom w:val="0"/>
          <w:divBdr>
            <w:top w:val="single" w:sz="2" w:space="0" w:color="E5E7EB"/>
            <w:left w:val="single" w:sz="2" w:space="0" w:color="E5E7EB"/>
            <w:bottom w:val="single" w:sz="2" w:space="0" w:color="E5E7EB"/>
            <w:right w:val="single" w:sz="2" w:space="0" w:color="E5E7EB"/>
          </w:divBdr>
          <w:divsChild>
            <w:div w:id="13952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3747">
      <w:bodyDiv w:val="1"/>
      <w:marLeft w:val="0"/>
      <w:marRight w:val="0"/>
      <w:marTop w:val="0"/>
      <w:marBottom w:val="0"/>
      <w:divBdr>
        <w:top w:val="none" w:sz="0" w:space="0" w:color="auto"/>
        <w:left w:val="none" w:sz="0" w:space="0" w:color="auto"/>
        <w:bottom w:val="none" w:sz="0" w:space="0" w:color="auto"/>
        <w:right w:val="none" w:sz="0" w:space="0" w:color="auto"/>
      </w:divBdr>
      <w:divsChild>
        <w:div w:id="868185587">
          <w:marLeft w:val="0"/>
          <w:marRight w:val="0"/>
          <w:marTop w:val="0"/>
          <w:marBottom w:val="0"/>
          <w:divBdr>
            <w:top w:val="single" w:sz="2" w:space="0" w:color="E5E7EB"/>
            <w:left w:val="single" w:sz="2" w:space="0" w:color="E5E7EB"/>
            <w:bottom w:val="single" w:sz="2" w:space="0" w:color="E5E7EB"/>
            <w:right w:val="single" w:sz="2" w:space="0" w:color="E5E7EB"/>
          </w:divBdr>
          <w:divsChild>
            <w:div w:id="1889611397">
              <w:marLeft w:val="0"/>
              <w:marRight w:val="0"/>
              <w:marTop w:val="0"/>
              <w:marBottom w:val="0"/>
              <w:divBdr>
                <w:top w:val="single" w:sz="2" w:space="0" w:color="auto"/>
                <w:left w:val="single" w:sz="2" w:space="0" w:color="auto"/>
                <w:bottom w:val="single" w:sz="2" w:space="0" w:color="auto"/>
                <w:right w:val="single" w:sz="2" w:space="0" w:color="auto"/>
              </w:divBdr>
              <w:divsChild>
                <w:div w:id="695932986">
                  <w:marLeft w:val="0"/>
                  <w:marRight w:val="0"/>
                  <w:marTop w:val="0"/>
                  <w:marBottom w:val="0"/>
                  <w:divBdr>
                    <w:top w:val="single" w:sz="2" w:space="0" w:color="auto"/>
                    <w:left w:val="single" w:sz="2" w:space="0" w:color="auto"/>
                    <w:bottom w:val="single" w:sz="2" w:space="0" w:color="auto"/>
                    <w:right w:val="single" w:sz="2" w:space="0" w:color="auto"/>
                  </w:divBdr>
                  <w:divsChild>
                    <w:div w:id="98794636">
                      <w:marLeft w:val="0"/>
                      <w:marRight w:val="0"/>
                      <w:marTop w:val="0"/>
                      <w:marBottom w:val="0"/>
                      <w:divBdr>
                        <w:top w:val="single" w:sz="2" w:space="0" w:color="E5E7EB"/>
                        <w:left w:val="single" w:sz="2" w:space="0" w:color="E5E7EB"/>
                        <w:bottom w:val="single" w:sz="2" w:space="0" w:color="E5E7EB"/>
                        <w:right w:val="single" w:sz="2" w:space="0" w:color="E5E7EB"/>
                      </w:divBdr>
                      <w:divsChild>
                        <w:div w:id="818157666">
                          <w:marLeft w:val="0"/>
                          <w:marRight w:val="0"/>
                          <w:marTop w:val="0"/>
                          <w:marBottom w:val="0"/>
                          <w:divBdr>
                            <w:top w:val="single" w:sz="2" w:space="0" w:color="E5E7EB"/>
                            <w:left w:val="single" w:sz="2" w:space="0" w:color="E5E7EB"/>
                            <w:bottom w:val="single" w:sz="2" w:space="0" w:color="E5E7EB"/>
                            <w:right w:val="single" w:sz="2" w:space="0" w:color="E5E7EB"/>
                          </w:divBdr>
                          <w:divsChild>
                            <w:div w:id="1797797833">
                              <w:marLeft w:val="0"/>
                              <w:marRight w:val="0"/>
                              <w:marTop w:val="0"/>
                              <w:marBottom w:val="0"/>
                              <w:divBdr>
                                <w:top w:val="single" w:sz="2" w:space="0" w:color="E5E7EB"/>
                                <w:left w:val="single" w:sz="2" w:space="0" w:color="E5E7EB"/>
                                <w:bottom w:val="single" w:sz="2" w:space="0" w:color="E5E7EB"/>
                                <w:right w:val="single" w:sz="2" w:space="0" w:color="E5E7EB"/>
                              </w:divBdr>
                              <w:divsChild>
                                <w:div w:id="545220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78015981">
                  <w:marLeft w:val="0"/>
                  <w:marRight w:val="0"/>
                  <w:marTop w:val="0"/>
                  <w:marBottom w:val="0"/>
                  <w:divBdr>
                    <w:top w:val="single" w:sz="2" w:space="0" w:color="auto"/>
                    <w:left w:val="single" w:sz="2" w:space="0" w:color="auto"/>
                    <w:bottom w:val="single" w:sz="2" w:space="0" w:color="auto"/>
                    <w:right w:val="single" w:sz="2" w:space="0" w:color="auto"/>
                  </w:divBdr>
                  <w:divsChild>
                    <w:div w:id="291911140">
                      <w:marLeft w:val="0"/>
                      <w:marRight w:val="0"/>
                      <w:marTop w:val="0"/>
                      <w:marBottom w:val="0"/>
                      <w:divBdr>
                        <w:top w:val="single" w:sz="2" w:space="0" w:color="E5E7EB"/>
                        <w:left w:val="single" w:sz="2" w:space="0" w:color="E5E7EB"/>
                        <w:bottom w:val="single" w:sz="2" w:space="0" w:color="E5E7EB"/>
                        <w:right w:val="single" w:sz="2" w:space="0" w:color="E5E7EB"/>
                      </w:divBdr>
                      <w:divsChild>
                        <w:div w:id="120463806">
                          <w:marLeft w:val="0"/>
                          <w:marRight w:val="0"/>
                          <w:marTop w:val="0"/>
                          <w:marBottom w:val="0"/>
                          <w:divBdr>
                            <w:top w:val="single" w:sz="2" w:space="0" w:color="E5E7EB"/>
                            <w:left w:val="single" w:sz="2" w:space="0" w:color="E5E7EB"/>
                            <w:bottom w:val="single" w:sz="2" w:space="0" w:color="E5E7EB"/>
                            <w:right w:val="single" w:sz="2" w:space="0" w:color="E5E7EB"/>
                          </w:divBdr>
                          <w:divsChild>
                            <w:div w:id="206694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4223810">
                          <w:marLeft w:val="0"/>
                          <w:marRight w:val="0"/>
                          <w:marTop w:val="0"/>
                          <w:marBottom w:val="0"/>
                          <w:divBdr>
                            <w:top w:val="single" w:sz="2" w:space="0" w:color="E5E7EB"/>
                            <w:left w:val="single" w:sz="2" w:space="0" w:color="E5E7EB"/>
                            <w:bottom w:val="single" w:sz="2" w:space="0" w:color="E5E7EB"/>
                            <w:right w:val="single" w:sz="2" w:space="0" w:color="E5E7EB"/>
                          </w:divBdr>
                          <w:divsChild>
                            <w:div w:id="1971933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05638303">
      <w:bodyDiv w:val="1"/>
      <w:marLeft w:val="0"/>
      <w:marRight w:val="0"/>
      <w:marTop w:val="0"/>
      <w:marBottom w:val="0"/>
      <w:divBdr>
        <w:top w:val="none" w:sz="0" w:space="0" w:color="auto"/>
        <w:left w:val="none" w:sz="0" w:space="0" w:color="auto"/>
        <w:bottom w:val="none" w:sz="0" w:space="0" w:color="auto"/>
        <w:right w:val="none" w:sz="0" w:space="0" w:color="auto"/>
      </w:divBdr>
    </w:div>
    <w:div w:id="677538709">
      <w:bodyDiv w:val="1"/>
      <w:marLeft w:val="0"/>
      <w:marRight w:val="0"/>
      <w:marTop w:val="0"/>
      <w:marBottom w:val="0"/>
      <w:divBdr>
        <w:top w:val="none" w:sz="0" w:space="0" w:color="auto"/>
        <w:left w:val="none" w:sz="0" w:space="0" w:color="auto"/>
        <w:bottom w:val="none" w:sz="0" w:space="0" w:color="auto"/>
        <w:right w:val="none" w:sz="0" w:space="0" w:color="auto"/>
      </w:divBdr>
    </w:div>
    <w:div w:id="1048796012">
      <w:bodyDiv w:val="1"/>
      <w:marLeft w:val="0"/>
      <w:marRight w:val="0"/>
      <w:marTop w:val="0"/>
      <w:marBottom w:val="0"/>
      <w:divBdr>
        <w:top w:val="none" w:sz="0" w:space="0" w:color="auto"/>
        <w:left w:val="none" w:sz="0" w:space="0" w:color="auto"/>
        <w:bottom w:val="none" w:sz="0" w:space="0" w:color="auto"/>
        <w:right w:val="none" w:sz="0" w:space="0" w:color="auto"/>
      </w:divBdr>
    </w:div>
    <w:div w:id="1064372448">
      <w:bodyDiv w:val="1"/>
      <w:marLeft w:val="0"/>
      <w:marRight w:val="0"/>
      <w:marTop w:val="0"/>
      <w:marBottom w:val="0"/>
      <w:divBdr>
        <w:top w:val="none" w:sz="0" w:space="0" w:color="auto"/>
        <w:left w:val="none" w:sz="0" w:space="0" w:color="auto"/>
        <w:bottom w:val="none" w:sz="0" w:space="0" w:color="auto"/>
        <w:right w:val="none" w:sz="0" w:space="0" w:color="auto"/>
      </w:divBdr>
    </w:div>
    <w:div w:id="1077899454">
      <w:bodyDiv w:val="1"/>
      <w:marLeft w:val="0"/>
      <w:marRight w:val="0"/>
      <w:marTop w:val="0"/>
      <w:marBottom w:val="0"/>
      <w:divBdr>
        <w:top w:val="none" w:sz="0" w:space="0" w:color="auto"/>
        <w:left w:val="none" w:sz="0" w:space="0" w:color="auto"/>
        <w:bottom w:val="none" w:sz="0" w:space="0" w:color="auto"/>
        <w:right w:val="none" w:sz="0" w:space="0" w:color="auto"/>
      </w:divBdr>
      <w:divsChild>
        <w:div w:id="1603535223">
          <w:marLeft w:val="0"/>
          <w:marRight w:val="0"/>
          <w:marTop w:val="0"/>
          <w:marBottom w:val="0"/>
          <w:divBdr>
            <w:top w:val="single" w:sz="2" w:space="0" w:color="E5E7EB"/>
            <w:left w:val="single" w:sz="2" w:space="0" w:color="E5E7EB"/>
            <w:bottom w:val="single" w:sz="2" w:space="0" w:color="E5E7EB"/>
            <w:right w:val="single" w:sz="2" w:space="0" w:color="E5E7EB"/>
          </w:divBdr>
          <w:divsChild>
            <w:div w:id="985427021">
              <w:marLeft w:val="0"/>
              <w:marRight w:val="0"/>
              <w:marTop w:val="0"/>
              <w:marBottom w:val="0"/>
              <w:divBdr>
                <w:top w:val="single" w:sz="2" w:space="0" w:color="auto"/>
                <w:left w:val="single" w:sz="2" w:space="0" w:color="auto"/>
                <w:bottom w:val="single" w:sz="2" w:space="0" w:color="auto"/>
                <w:right w:val="single" w:sz="2" w:space="0" w:color="auto"/>
              </w:divBdr>
              <w:divsChild>
                <w:div w:id="169178359">
                  <w:marLeft w:val="0"/>
                  <w:marRight w:val="0"/>
                  <w:marTop w:val="0"/>
                  <w:marBottom w:val="0"/>
                  <w:divBdr>
                    <w:top w:val="single" w:sz="2" w:space="0" w:color="auto"/>
                    <w:left w:val="single" w:sz="2" w:space="0" w:color="auto"/>
                    <w:bottom w:val="single" w:sz="2" w:space="0" w:color="auto"/>
                    <w:right w:val="single" w:sz="2" w:space="0" w:color="auto"/>
                  </w:divBdr>
                  <w:divsChild>
                    <w:div w:id="1887795622">
                      <w:marLeft w:val="0"/>
                      <w:marRight w:val="0"/>
                      <w:marTop w:val="0"/>
                      <w:marBottom w:val="0"/>
                      <w:divBdr>
                        <w:top w:val="single" w:sz="2" w:space="0" w:color="E5E7EB"/>
                        <w:left w:val="single" w:sz="2" w:space="0" w:color="E5E7EB"/>
                        <w:bottom w:val="single" w:sz="2" w:space="0" w:color="E5E7EB"/>
                        <w:right w:val="single" w:sz="2" w:space="0" w:color="E5E7EB"/>
                      </w:divBdr>
                      <w:divsChild>
                        <w:div w:id="630746212">
                          <w:marLeft w:val="0"/>
                          <w:marRight w:val="0"/>
                          <w:marTop w:val="0"/>
                          <w:marBottom w:val="0"/>
                          <w:divBdr>
                            <w:top w:val="single" w:sz="2" w:space="0" w:color="E5E7EB"/>
                            <w:left w:val="single" w:sz="2" w:space="0" w:color="E5E7EB"/>
                            <w:bottom w:val="single" w:sz="2" w:space="0" w:color="E5E7EB"/>
                            <w:right w:val="single" w:sz="2" w:space="0" w:color="E5E7EB"/>
                          </w:divBdr>
                          <w:divsChild>
                            <w:div w:id="390883173">
                              <w:marLeft w:val="0"/>
                              <w:marRight w:val="0"/>
                              <w:marTop w:val="0"/>
                              <w:marBottom w:val="0"/>
                              <w:divBdr>
                                <w:top w:val="single" w:sz="2" w:space="0" w:color="E5E7EB"/>
                                <w:left w:val="single" w:sz="2" w:space="0" w:color="E5E7EB"/>
                                <w:bottom w:val="single" w:sz="2" w:space="0" w:color="E5E7EB"/>
                                <w:right w:val="single" w:sz="2" w:space="0" w:color="E5E7EB"/>
                              </w:divBdr>
                              <w:divsChild>
                                <w:div w:id="577207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3934030">
                  <w:marLeft w:val="0"/>
                  <w:marRight w:val="0"/>
                  <w:marTop w:val="0"/>
                  <w:marBottom w:val="0"/>
                  <w:divBdr>
                    <w:top w:val="single" w:sz="2" w:space="0" w:color="auto"/>
                    <w:left w:val="single" w:sz="2" w:space="0" w:color="auto"/>
                    <w:bottom w:val="single" w:sz="2" w:space="0" w:color="auto"/>
                    <w:right w:val="single" w:sz="2" w:space="0" w:color="auto"/>
                  </w:divBdr>
                  <w:divsChild>
                    <w:div w:id="1595942011">
                      <w:marLeft w:val="0"/>
                      <w:marRight w:val="0"/>
                      <w:marTop w:val="0"/>
                      <w:marBottom w:val="0"/>
                      <w:divBdr>
                        <w:top w:val="single" w:sz="2" w:space="0" w:color="E5E7EB"/>
                        <w:left w:val="single" w:sz="2" w:space="0" w:color="E5E7EB"/>
                        <w:bottom w:val="single" w:sz="2" w:space="0" w:color="E5E7EB"/>
                        <w:right w:val="single" w:sz="2" w:space="0" w:color="E5E7EB"/>
                      </w:divBdr>
                      <w:divsChild>
                        <w:div w:id="421606173">
                          <w:marLeft w:val="0"/>
                          <w:marRight w:val="0"/>
                          <w:marTop w:val="0"/>
                          <w:marBottom w:val="0"/>
                          <w:divBdr>
                            <w:top w:val="single" w:sz="2" w:space="0" w:color="E5E7EB"/>
                            <w:left w:val="single" w:sz="2" w:space="0" w:color="E5E7EB"/>
                            <w:bottom w:val="single" w:sz="2" w:space="0" w:color="E5E7EB"/>
                            <w:right w:val="single" w:sz="2" w:space="0" w:color="E5E7EB"/>
                          </w:divBdr>
                          <w:divsChild>
                            <w:div w:id="1690066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5654862">
                          <w:marLeft w:val="0"/>
                          <w:marRight w:val="0"/>
                          <w:marTop w:val="0"/>
                          <w:marBottom w:val="0"/>
                          <w:divBdr>
                            <w:top w:val="single" w:sz="2" w:space="0" w:color="E5E7EB"/>
                            <w:left w:val="single" w:sz="2" w:space="0" w:color="E5E7EB"/>
                            <w:bottom w:val="single" w:sz="2" w:space="0" w:color="E5E7EB"/>
                            <w:right w:val="single" w:sz="2" w:space="0" w:color="E5E7EB"/>
                          </w:divBdr>
                          <w:divsChild>
                            <w:div w:id="2053651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18725835">
      <w:bodyDiv w:val="1"/>
      <w:marLeft w:val="0"/>
      <w:marRight w:val="0"/>
      <w:marTop w:val="0"/>
      <w:marBottom w:val="0"/>
      <w:divBdr>
        <w:top w:val="none" w:sz="0" w:space="0" w:color="auto"/>
        <w:left w:val="none" w:sz="0" w:space="0" w:color="auto"/>
        <w:bottom w:val="none" w:sz="0" w:space="0" w:color="auto"/>
        <w:right w:val="none" w:sz="0" w:space="0" w:color="auto"/>
      </w:divBdr>
    </w:div>
    <w:div w:id="1859076691">
      <w:bodyDiv w:val="1"/>
      <w:marLeft w:val="0"/>
      <w:marRight w:val="0"/>
      <w:marTop w:val="0"/>
      <w:marBottom w:val="0"/>
      <w:divBdr>
        <w:top w:val="none" w:sz="0" w:space="0" w:color="auto"/>
        <w:left w:val="none" w:sz="0" w:space="0" w:color="auto"/>
        <w:bottom w:val="none" w:sz="0" w:space="0" w:color="auto"/>
        <w:right w:val="none" w:sz="0" w:space="0" w:color="auto"/>
      </w:divBdr>
    </w:div>
    <w:div w:id="20143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bdirect.org/cabdirect/abstract/19891869761" TargetMode="External"/><Relationship Id="rId18" Type="http://schemas.openxmlformats.org/officeDocument/2006/relationships/hyperlink" Target="https://doi.org/10.1016/j.tourman.2020.104131" TargetMode="External"/><Relationship Id="rId26" Type="http://schemas.openxmlformats.org/officeDocument/2006/relationships/hyperlink" Target="https://www.eumed.net/rev/turydes/26/turismo-ecuador.html" TargetMode="External"/><Relationship Id="rId39" Type="http://schemas.openxmlformats.org/officeDocument/2006/relationships/hyperlink" Target="https://doi.org/10.1080/1743873X.2016.1146287" TargetMode="External"/><Relationship Id="rId21" Type="http://schemas.openxmlformats.org/officeDocument/2006/relationships/hyperlink" Target="https://www.conanp.gob.mx/acciones/advc/MarcoEstrategico.pdf" TargetMode="External"/><Relationship Id="rId34" Type="http://schemas.openxmlformats.org/officeDocument/2006/relationships/hyperlink" Target="https://www.redalyc.org/articulo.oa?id=28966592003" TargetMode="External"/><Relationship Id="rId42" Type="http://schemas.openxmlformats.org/officeDocument/2006/relationships/hyperlink" Target="https://doi.org/10.17533/udea.Ie.n96a342804" TargetMode="External"/><Relationship Id="rId47" Type="http://schemas.openxmlformats.org/officeDocument/2006/relationships/hyperlink" Target="http://transitare.anahuacoaxaca.edu.mx/index.php/Transitare/article/view/35/20" TargetMode="External"/><Relationship Id="rId50" Type="http://schemas.openxmlformats.org/officeDocument/2006/relationships/hyperlink" Target="https://doi.org/10.1080/13527250220143922" TargetMode="External"/><Relationship Id="rId55" Type="http://schemas.openxmlformats.org/officeDocument/2006/relationships/hyperlink" Target="https://doi.org/10.29393/ran8-8vmom30008"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vistas.um.es/turismo/article/view/47931" TargetMode="External"/><Relationship Id="rId29" Type="http://schemas.openxmlformats.org/officeDocument/2006/relationships/hyperlink" Target="https://doi.org/10.7763/ijtef.2010.v1.36" TargetMode="External"/><Relationship Id="rId11" Type="http://schemas.openxmlformats.org/officeDocument/2006/relationships/chart" Target="charts/chart3.xml"/><Relationship Id="rId24" Type="http://schemas.openxmlformats.org/officeDocument/2006/relationships/hyperlink" Target="https://doi.org/10.1080/10941660701243307" TargetMode="External"/><Relationship Id="rId32" Type="http://schemas.openxmlformats.org/officeDocument/2006/relationships/hyperlink" Target="https://www.inegi.org.mx/temas/inpc/" TargetMode="External"/><Relationship Id="rId37" Type="http://schemas.microsoft.com/office/2016/09/relationships/commentsIds" Target="commentsIds.xml"/><Relationship Id="rId40" Type="http://schemas.openxmlformats.org/officeDocument/2006/relationships/hyperlink" Target="https://www.cabi.org/leisuretourism/ebook/20183360896" TargetMode="External"/><Relationship Id="rId45" Type="http://schemas.openxmlformats.org/officeDocument/2006/relationships/hyperlink" Target="https://www.unwto.org/es/taxonomy/term/347" TargetMode="External"/><Relationship Id="rId53" Type="http://schemas.openxmlformats.org/officeDocument/2006/relationships/hyperlink" Target="https://whc.unesco.org/es/list/?iso=mx&amp;search=&amp;"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12804/revistas.urosario.edu.co/economia/a.8926" TargetMode="External"/><Relationship Id="rId14" Type="http://schemas.openxmlformats.org/officeDocument/2006/relationships/hyperlink" Target="https://doi.org/10.1016/j.cesjef.2015.10.001" TargetMode="External"/><Relationship Id="rId22" Type="http://schemas.openxmlformats.org/officeDocument/2006/relationships/hyperlink" Target="https://simec.conanp.gob.mx/numeralia.php" TargetMode="External"/><Relationship Id="rId27" Type="http://schemas.openxmlformats.org/officeDocument/2006/relationships/hyperlink" Target="https://www.redalyc.org/articulo.oa?id=32512739012" TargetMode="External"/><Relationship Id="rId30" Type="http://schemas.openxmlformats.org/officeDocument/2006/relationships/hyperlink" Target="https://www.inegi.org.mx/temas/confianza/" TargetMode="External"/><Relationship Id="rId35" Type="http://schemas.openxmlformats.org/officeDocument/2006/relationships/comments" Target="comments.xml"/><Relationship Id="rId43" Type="http://schemas.openxmlformats.org/officeDocument/2006/relationships/hyperlink" Target="https://doi/10.5367/000000005774352962" TargetMode="External"/><Relationship Id="rId48" Type="http://schemas.openxmlformats.org/officeDocument/2006/relationships/hyperlink" Target="https://rsis.ramsar.org/es/ris/1813" TargetMode="External"/><Relationship Id="rId56" Type="http://schemas.openxmlformats.org/officeDocument/2006/relationships/hyperlink" Target="https://doi.org/10.1016/j.tourman.2013.06.003" TargetMode="External"/><Relationship Id="rId8" Type="http://schemas.openxmlformats.org/officeDocument/2006/relationships/image" Target="media/image1.png"/><Relationship Id="rId51" Type="http://schemas.openxmlformats.org/officeDocument/2006/relationships/hyperlink" Target="https://www.planeacion.sep.gob.mx/CalendarioHistorico.aspx" TargetMode="External"/><Relationship Id="rId3" Type="http://schemas.openxmlformats.org/officeDocument/2006/relationships/styles" Target="styles.xml"/><Relationship Id="rId12" Type="http://schemas.openxmlformats.org/officeDocument/2006/relationships/hyperlink" Target="https://doi.org/10.1080/1743873X.2016.1151429" TargetMode="External"/><Relationship Id="rId17" Type="http://schemas.openxmlformats.org/officeDocument/2006/relationships/hyperlink" Target="https://www.redalyc.org/articulo.oa?id=88117284006" TargetMode="External"/><Relationship Id="rId25" Type="http://schemas.openxmlformats.org/officeDocument/2006/relationships/hyperlink" Target="https://portals.iucn.org/library/efiles/documents/paps-016-es.pdf" TargetMode="External"/><Relationship Id="rId33" Type="http://schemas.openxmlformats.org/officeDocument/2006/relationships/hyperlink" Target="https://www.inegi.org.mx/programas/enigh/nc/2022/" TargetMode="External"/><Relationship Id="rId38" Type="http://schemas.openxmlformats.org/officeDocument/2006/relationships/hyperlink" Target="https://irep.ntu.ac.uk/id/eprint/43852" TargetMode="External"/><Relationship Id="rId46" Type="http://schemas.openxmlformats.org/officeDocument/2006/relationships/hyperlink" Target="http://dx.doi.org/10.2139/ssrn.2273457" TargetMode="External"/><Relationship Id="rId59" Type="http://schemas.openxmlformats.org/officeDocument/2006/relationships/header" Target="header2.xml"/><Relationship Id="rId20" Type="http://schemas.openxmlformats.org/officeDocument/2006/relationships/hyperlink" Target="https://doi.org/10.1080/09654313.2013.784605" TargetMode="External"/><Relationship Id="rId41" Type="http://schemas.openxmlformats.org/officeDocument/2006/relationships/hyperlink" Target="https://www.jpmorgan.com/insights/business/risk-mitigation/country-risk-in-the-global-economy" TargetMode="External"/><Relationship Id="rId54" Type="http://schemas.openxmlformats.org/officeDocument/2006/relationships/hyperlink" Target="https://en.unesco.org/biosphere/lac"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57/bm.1998.30" TargetMode="External"/><Relationship Id="rId23" Type="http://schemas.openxmlformats.org/officeDocument/2006/relationships/hyperlink" Target="https://www.imf.org/external/pubs/ft/wp/2014/wp1482.pdf" TargetMode="External"/><Relationship Id="rId28" Type="http://schemas.openxmlformats.org/officeDocument/2006/relationships/hyperlink" Target="http://dx.doi.org/10.14198/INTURI2018.16.05" TargetMode="External"/><Relationship Id="rId36" Type="http://schemas.microsoft.com/office/2011/relationships/commentsExtended" Target="commentsExtended.xml"/><Relationship Id="rId49" Type="http://schemas.openxmlformats.org/officeDocument/2006/relationships/hyperlink" Target="https://elpinacate.com.mx/inicio/museo-schuk-toak/" TargetMode="External"/><Relationship Id="rId57" Type="http://schemas.openxmlformats.org/officeDocument/2006/relationships/hyperlink" Target="https://doi.org/10.1016/s2212-5671(15)01369-6" TargetMode="External"/><Relationship Id="rId10" Type="http://schemas.openxmlformats.org/officeDocument/2006/relationships/chart" Target="charts/chart2.xml"/><Relationship Id="rId31" Type="http://schemas.openxmlformats.org/officeDocument/2006/relationships/hyperlink" Target="https://www.inegi.org.mx/temas/itat/" TargetMode="External"/><Relationship Id="rId44" Type="http://schemas.openxmlformats.org/officeDocument/2006/relationships/hyperlink" Target="https://rperiplo.uaemex.mx/article/view/4854" TargetMode="External"/><Relationship Id="rId52" Type="http://schemas.openxmlformats.org/officeDocument/2006/relationships/hyperlink" Target="https://www.protectedplanet.net/"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www.revistas.una.ac.cr/index.php/economia" TargetMode="External"/><Relationship Id="rId1" Type="http://schemas.openxmlformats.org/officeDocument/2006/relationships/image" Target="media/image3.png"/><Relationship Id="rId4" Type="http://schemas.openxmlformats.org/officeDocument/2006/relationships/hyperlink" Target="http://www.revistas.una.ac.cr/index.php/economi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6073-6672" TargetMode="External"/><Relationship Id="rId7" Type="http://schemas.openxmlformats.org/officeDocument/2006/relationships/hyperlink" Target="https://orcid.org/0000-0002-9724-0558" TargetMode="External"/><Relationship Id="rId2" Type="http://schemas.openxmlformats.org/officeDocument/2006/relationships/hyperlink" Target="mailto:cborbon@ciad.mx" TargetMode="External"/><Relationship Id="rId1" Type="http://schemas.openxmlformats.org/officeDocument/2006/relationships/hyperlink" Target="https://doi.org/10.15359/eys.30-67.1" TargetMode="External"/><Relationship Id="rId6" Type="http://schemas.openxmlformats.org/officeDocument/2006/relationships/hyperlink" Target="mailto:edgar.rueda@unison.mx" TargetMode="External"/><Relationship Id="rId5" Type="http://schemas.openxmlformats.org/officeDocument/2006/relationships/hyperlink" Target="https://orcid.org/0000-0001-8946-524X" TargetMode="External"/><Relationship Id="rId4" Type="http://schemas.openxmlformats.org/officeDocument/2006/relationships/hyperlink" Target="mailto:alejandro.canez@unison.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4472C4"/>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val>
            <c:numRef>
              <c:f>0</c:f>
              <c:numCache>
                <c:formatCode>General</c:formatCode>
                <c:ptCount val="13"/>
                <c:pt idx="0">
                  <c:v>8204</c:v>
                </c:pt>
                <c:pt idx="1">
                  <c:v>9165</c:v>
                </c:pt>
                <c:pt idx="2">
                  <c:v>8083</c:v>
                </c:pt>
                <c:pt idx="3">
                  <c:v>6885</c:v>
                </c:pt>
                <c:pt idx="4">
                  <c:v>10465</c:v>
                </c:pt>
                <c:pt idx="5">
                  <c:v>9010</c:v>
                </c:pt>
                <c:pt idx="6">
                  <c:v>11075</c:v>
                </c:pt>
                <c:pt idx="7">
                  <c:v>12423</c:v>
                </c:pt>
                <c:pt idx="8">
                  <c:v>10564</c:v>
                </c:pt>
                <c:pt idx="9">
                  <c:v>7220</c:v>
                </c:pt>
                <c:pt idx="10">
                  <c:v>8292</c:v>
                </c:pt>
                <c:pt idx="11">
                  <c:v>2431</c:v>
                </c:pt>
                <c:pt idx="12">
                  <c:v>4878</c:v>
                </c:pt>
              </c:numCache>
            </c:numRef>
          </c:val>
          <c:extLst>
            <c:ext xmlns:c15="http://schemas.microsoft.com/office/drawing/2012/chart" uri="{02D57815-91ED-43cb-92C2-25804820EDAC}">
              <c15:filteredSeriesTitle>
                <c15:tx>
                  <c:strRef>
                    <c:extLst>
                      <c:ext uri="{02D57815-91ED-43cb-92C2-25804820EDAC}">
                        <c15:formulaRef>
                          <c15:sqref>label 0</c15:sqref>
                        </c15:formulaRef>
                      </c:ext>
                    </c:extLst>
                    <c:strCache>
                      <c:ptCount val="1"/>
                      <c:pt idx="0">
                        <c:v>VISITANTES</c:v>
                      </c:pt>
                    </c:strCache>
                  </c:strRef>
                </c15:tx>
              </c15:filteredSeriesTitle>
            </c:ext>
            <c:ext xmlns:c15="http://schemas.microsoft.com/office/drawing/2012/chart" uri="{02D57815-91ED-43cb-92C2-25804820EDAC}">
              <c15:filteredCategoryTitle>
                <c15:cat>
                  <c:strRef>
                    <c:extLst>
                      <c:ext uri="{02D57815-91ED-43cb-92C2-25804820EDAC}">
                        <c15:formulaRef>
                          <c15:sqref>categories</c15:sqref>
                        </c15:formulaRef>
                      </c:ext>
                    </c:extLst>
                    <c:strCach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strCache>
                  </c:strRef>
                </c15:cat>
              </c15:filteredCategoryTitle>
            </c:ext>
            <c:ext xmlns:c16="http://schemas.microsoft.com/office/drawing/2014/chart" uri="{C3380CC4-5D6E-409C-BE32-E72D297353CC}">
              <c16:uniqueId val="{00000000-B07A-40DD-AD6D-B3B60D1A0009}"/>
            </c:ext>
          </c:extLst>
        </c:ser>
        <c:dLbls>
          <c:showLegendKey val="0"/>
          <c:showVal val="0"/>
          <c:showCatName val="0"/>
          <c:showSerName val="0"/>
          <c:showPercent val="0"/>
          <c:showBubbleSize val="0"/>
        </c:dLbls>
        <c:gapWidth val="219"/>
        <c:overlap val="-27"/>
        <c:axId val="63992384"/>
        <c:axId val="43135831"/>
      </c:barChart>
      <c:catAx>
        <c:axId val="63992384"/>
        <c:scaling>
          <c:orientation val="minMax"/>
        </c:scaling>
        <c:delete val="0"/>
        <c:axPos val="b"/>
        <c:title>
          <c:tx>
            <c:rich>
              <a:bodyPr rot="0"/>
              <a:lstStyle/>
              <a:p>
                <a:pPr>
                  <a:defRPr/>
                </a:pPr>
                <a:r>
                  <a:rPr lang="es-MX"/>
                  <a:t>Año</a:t>
                </a:r>
              </a:p>
            </c:rich>
          </c:tx>
          <c:overlay val="0"/>
          <c:spPr>
            <a:noFill/>
            <a:ln w="0">
              <a:noFill/>
            </a:ln>
          </c:spPr>
        </c:title>
        <c:numFmt formatCode="General" sourceLinked="0"/>
        <c:majorTickMark val="none"/>
        <c:minorTickMark val="none"/>
        <c:tickLblPos val="nextTo"/>
        <c:spPr>
          <a:ln w="9360">
            <a:solidFill>
              <a:srgbClr val="D9D9D9"/>
            </a:solidFill>
            <a:round/>
          </a:ln>
        </c:spPr>
        <c:crossAx val="43135831"/>
        <c:crosses val="autoZero"/>
        <c:auto val="1"/>
        <c:lblAlgn val="ctr"/>
        <c:lblOffset val="100"/>
        <c:noMultiLvlLbl val="0"/>
      </c:catAx>
      <c:valAx>
        <c:axId val="43135831"/>
        <c:scaling>
          <c:orientation val="minMax"/>
        </c:scaling>
        <c:delete val="0"/>
        <c:axPos val="l"/>
        <c:majorGridlines>
          <c:spPr>
            <a:ln w="9360">
              <a:solidFill>
                <a:srgbClr val="D9D9D9"/>
              </a:solidFill>
              <a:round/>
            </a:ln>
          </c:spPr>
        </c:majorGridlines>
        <c:title>
          <c:tx>
            <c:rich>
              <a:bodyPr rot="-5400000"/>
              <a:lstStyle/>
              <a:p>
                <a:pPr>
                  <a:defRPr/>
                </a:pPr>
                <a:r>
                  <a:rPr lang="es-MX"/>
                  <a:t>Visitantes</a:t>
                </a:r>
              </a:p>
            </c:rich>
          </c:tx>
          <c:overlay val="0"/>
          <c:spPr>
            <a:noFill/>
            <a:ln w="0">
              <a:noFill/>
            </a:ln>
          </c:spPr>
        </c:title>
        <c:numFmt formatCode="General" sourceLinked="0"/>
        <c:majorTickMark val="none"/>
        <c:minorTickMark val="none"/>
        <c:tickLblPos val="nextTo"/>
        <c:spPr>
          <a:ln w="6480">
            <a:noFill/>
          </a:ln>
        </c:spPr>
        <c:crossAx val="63992384"/>
        <c:crosses val="autoZero"/>
        <c:crossBetween val="between"/>
      </c:valAx>
      <c:spPr>
        <a:noFill/>
        <a:ln w="0">
          <a:noFill/>
        </a:ln>
      </c:spPr>
    </c:plotArea>
    <c:plotVisOnly val="1"/>
    <c:dispBlanksAs val="gap"/>
    <c:showDLblsOverMax val="1"/>
  </c:chart>
  <c:spPr>
    <a:noFill/>
    <a:ln w="9360">
      <a:noFill/>
      <a:round/>
    </a:ln>
  </c:spPr>
  <c:txPr>
    <a:bodyPr/>
    <a:lstStyle/>
    <a:p>
      <a:pPr>
        <a:defRPr>
          <a:solidFill>
            <a:sysClr val="windowText" lastClr="000000"/>
          </a:solidFill>
        </a:defRPr>
      </a:pPr>
      <a:endParaRPr lang="es-C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label 0</c:f>
              <c:strCache>
                <c:ptCount val="1"/>
                <c:pt idx="0">
                  <c:v>LOCAL</c:v>
                </c:pt>
              </c:strCache>
            </c:strRef>
          </c:tx>
          <c:spPr>
            <a:solidFill>
              <a:srgbClr val="4472C4"/>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strCache>
            </c:strRef>
          </c:cat>
          <c:val>
            <c:numRef>
              <c:f>0</c:f>
              <c:numCache>
                <c:formatCode>General</c:formatCode>
                <c:ptCount val="13"/>
                <c:pt idx="0">
                  <c:v>5177</c:v>
                </c:pt>
                <c:pt idx="1">
                  <c:v>4972</c:v>
                </c:pt>
                <c:pt idx="2">
                  <c:v>3340</c:v>
                </c:pt>
                <c:pt idx="3">
                  <c:v>2437</c:v>
                </c:pt>
                <c:pt idx="4">
                  <c:v>4211</c:v>
                </c:pt>
                <c:pt idx="5">
                  <c:v>2991</c:v>
                </c:pt>
                <c:pt idx="6">
                  <c:v>3269</c:v>
                </c:pt>
                <c:pt idx="7">
                  <c:v>4099</c:v>
                </c:pt>
                <c:pt idx="8">
                  <c:v>3070</c:v>
                </c:pt>
                <c:pt idx="9">
                  <c:v>2516</c:v>
                </c:pt>
                <c:pt idx="10">
                  <c:v>2793</c:v>
                </c:pt>
                <c:pt idx="11">
                  <c:v>1094</c:v>
                </c:pt>
                <c:pt idx="12">
                  <c:v>1730</c:v>
                </c:pt>
              </c:numCache>
            </c:numRef>
          </c:val>
          <c:extLst>
            <c:ext xmlns:c16="http://schemas.microsoft.com/office/drawing/2014/chart" uri="{C3380CC4-5D6E-409C-BE32-E72D297353CC}">
              <c16:uniqueId val="{00000000-358E-40D0-8C71-2DEDAF5B976E}"/>
            </c:ext>
          </c:extLst>
        </c:ser>
        <c:ser>
          <c:idx val="1"/>
          <c:order val="1"/>
          <c:tx>
            <c:strRef>
              <c:f>label 1</c:f>
              <c:strCache>
                <c:ptCount val="1"/>
                <c:pt idx="0">
                  <c:v>NACIONAL</c:v>
                </c:pt>
              </c:strCache>
            </c:strRef>
          </c:tx>
          <c:spPr>
            <a:solidFill>
              <a:srgbClr val="ED7D31"/>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strCache>
            </c:strRef>
          </c:cat>
          <c:val>
            <c:numRef>
              <c:f>1</c:f>
              <c:numCache>
                <c:formatCode>General</c:formatCode>
                <c:ptCount val="13"/>
                <c:pt idx="0">
                  <c:v>1968</c:v>
                </c:pt>
                <c:pt idx="1">
                  <c:v>3001</c:v>
                </c:pt>
                <c:pt idx="2">
                  <c:v>3863</c:v>
                </c:pt>
                <c:pt idx="3">
                  <c:v>3140</c:v>
                </c:pt>
                <c:pt idx="4">
                  <c:v>4428</c:v>
                </c:pt>
                <c:pt idx="5">
                  <c:v>3683</c:v>
                </c:pt>
                <c:pt idx="6">
                  <c:v>4745</c:v>
                </c:pt>
                <c:pt idx="7">
                  <c:v>4865</c:v>
                </c:pt>
                <c:pt idx="8">
                  <c:v>5213</c:v>
                </c:pt>
                <c:pt idx="9">
                  <c:v>3111</c:v>
                </c:pt>
                <c:pt idx="10">
                  <c:v>3892</c:v>
                </c:pt>
                <c:pt idx="11">
                  <c:v>910</c:v>
                </c:pt>
                <c:pt idx="12">
                  <c:v>2609</c:v>
                </c:pt>
              </c:numCache>
            </c:numRef>
          </c:val>
          <c:extLst>
            <c:ext xmlns:c16="http://schemas.microsoft.com/office/drawing/2014/chart" uri="{C3380CC4-5D6E-409C-BE32-E72D297353CC}">
              <c16:uniqueId val="{00000001-358E-40D0-8C71-2DEDAF5B976E}"/>
            </c:ext>
          </c:extLst>
        </c:ser>
        <c:ser>
          <c:idx val="2"/>
          <c:order val="2"/>
          <c:tx>
            <c:strRef>
              <c:f>label 2</c:f>
              <c:strCache>
                <c:ptCount val="1"/>
                <c:pt idx="0">
                  <c:v>EXTRANJERO</c:v>
                </c:pt>
              </c:strCache>
            </c:strRef>
          </c:tx>
          <c:spPr>
            <a:solidFill>
              <a:srgbClr val="A5A5A5"/>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strCache>
            </c:strRef>
          </c:cat>
          <c:val>
            <c:numRef>
              <c:f>2</c:f>
              <c:numCache>
                <c:formatCode>General</c:formatCode>
                <c:ptCount val="13"/>
                <c:pt idx="0">
                  <c:v>1059</c:v>
                </c:pt>
                <c:pt idx="1">
                  <c:v>1230</c:v>
                </c:pt>
                <c:pt idx="2">
                  <c:v>880</c:v>
                </c:pt>
                <c:pt idx="3">
                  <c:v>1308</c:v>
                </c:pt>
                <c:pt idx="4">
                  <c:v>1826</c:v>
                </c:pt>
                <c:pt idx="5">
                  <c:v>2336</c:v>
                </c:pt>
                <c:pt idx="6">
                  <c:v>3061</c:v>
                </c:pt>
                <c:pt idx="7">
                  <c:v>3459</c:v>
                </c:pt>
                <c:pt idx="8">
                  <c:v>2281</c:v>
                </c:pt>
                <c:pt idx="9">
                  <c:v>1593</c:v>
                </c:pt>
                <c:pt idx="10">
                  <c:v>1607</c:v>
                </c:pt>
                <c:pt idx="11">
                  <c:v>427</c:v>
                </c:pt>
                <c:pt idx="12">
                  <c:v>539</c:v>
                </c:pt>
              </c:numCache>
            </c:numRef>
          </c:val>
          <c:extLst>
            <c:ext xmlns:c16="http://schemas.microsoft.com/office/drawing/2014/chart" uri="{C3380CC4-5D6E-409C-BE32-E72D297353CC}">
              <c16:uniqueId val="{00000002-358E-40D0-8C71-2DEDAF5B976E}"/>
            </c:ext>
          </c:extLst>
        </c:ser>
        <c:dLbls>
          <c:showLegendKey val="0"/>
          <c:showVal val="0"/>
          <c:showCatName val="0"/>
          <c:showSerName val="0"/>
          <c:showPercent val="0"/>
          <c:showBubbleSize val="0"/>
        </c:dLbls>
        <c:gapWidth val="219"/>
        <c:overlap val="-27"/>
        <c:axId val="91575756"/>
        <c:axId val="81637400"/>
      </c:barChart>
      <c:catAx>
        <c:axId val="91575756"/>
        <c:scaling>
          <c:orientation val="minMax"/>
        </c:scaling>
        <c:delete val="0"/>
        <c:axPos val="b"/>
        <c:title>
          <c:tx>
            <c:rich>
              <a:bodyPr rot="0"/>
              <a:lstStyle/>
              <a:p>
                <a:pPr>
                  <a:defRPr/>
                </a:pPr>
                <a:r>
                  <a:rPr lang="es-MX"/>
                  <a:t>Año</a:t>
                </a:r>
              </a:p>
            </c:rich>
          </c:tx>
          <c:overlay val="0"/>
          <c:spPr>
            <a:noFill/>
            <a:ln w="0">
              <a:noFill/>
            </a:ln>
          </c:spPr>
        </c:title>
        <c:numFmt formatCode="General" sourceLinked="0"/>
        <c:majorTickMark val="none"/>
        <c:minorTickMark val="none"/>
        <c:tickLblPos val="nextTo"/>
        <c:spPr>
          <a:ln w="9360">
            <a:solidFill>
              <a:srgbClr val="D9D9D9"/>
            </a:solidFill>
            <a:round/>
          </a:ln>
        </c:spPr>
        <c:crossAx val="81637400"/>
        <c:crosses val="autoZero"/>
        <c:auto val="1"/>
        <c:lblAlgn val="ctr"/>
        <c:lblOffset val="100"/>
        <c:noMultiLvlLbl val="0"/>
      </c:catAx>
      <c:valAx>
        <c:axId val="81637400"/>
        <c:scaling>
          <c:orientation val="minMax"/>
        </c:scaling>
        <c:delete val="0"/>
        <c:axPos val="l"/>
        <c:majorGridlines>
          <c:spPr>
            <a:ln w="9360">
              <a:solidFill>
                <a:srgbClr val="D9D9D9"/>
              </a:solidFill>
              <a:round/>
            </a:ln>
          </c:spPr>
        </c:majorGridlines>
        <c:title>
          <c:tx>
            <c:rich>
              <a:bodyPr rot="-5400000"/>
              <a:lstStyle/>
              <a:p>
                <a:pPr>
                  <a:defRPr/>
                </a:pPr>
                <a:r>
                  <a:rPr lang="es-MX"/>
                  <a:t>Visitantes</a:t>
                </a:r>
              </a:p>
            </c:rich>
          </c:tx>
          <c:overlay val="0"/>
          <c:spPr>
            <a:noFill/>
            <a:ln w="0">
              <a:noFill/>
            </a:ln>
          </c:spPr>
        </c:title>
        <c:numFmt formatCode="General" sourceLinked="0"/>
        <c:majorTickMark val="none"/>
        <c:minorTickMark val="none"/>
        <c:tickLblPos val="nextTo"/>
        <c:spPr>
          <a:ln w="6480">
            <a:noFill/>
          </a:ln>
        </c:spPr>
        <c:crossAx val="91575756"/>
        <c:crosses val="autoZero"/>
        <c:crossBetween val="between"/>
      </c:valAx>
      <c:spPr>
        <a:noFill/>
        <a:ln w="0">
          <a:noFill/>
        </a:ln>
      </c:spPr>
    </c:plotArea>
    <c:legend>
      <c:legendPos val="b"/>
      <c:overlay val="0"/>
      <c:spPr>
        <a:noFill/>
        <a:ln w="0">
          <a:noFill/>
        </a:ln>
      </c:spPr>
    </c:legend>
    <c:plotVisOnly val="1"/>
    <c:dispBlanksAs val="gap"/>
    <c:showDLblsOverMax val="1"/>
  </c:chart>
  <c:spPr>
    <a:noFill/>
    <a:ln w="9360">
      <a:noFill/>
      <a:round/>
    </a:ln>
  </c:spPr>
  <c:txPr>
    <a:bodyPr/>
    <a:lstStyle/>
    <a:p>
      <a:pPr>
        <a:defRPr>
          <a:solidFill>
            <a:sysClr val="windowText" lastClr="000000"/>
          </a:solidFill>
        </a:defRPr>
      </a:pPr>
      <a:endParaRPr lang="es-C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label 0</c:f>
              <c:strCache>
                <c:ptCount val="1"/>
                <c:pt idx="0">
                  <c:v>0-6</c:v>
                </c:pt>
              </c:strCache>
            </c:strRef>
          </c:tx>
          <c:spPr>
            <a:solidFill>
              <a:srgbClr val="4472C4"/>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strCache>
            </c:strRef>
          </c:cat>
          <c:val>
            <c:numRef>
              <c:f>0</c:f>
              <c:numCache>
                <c:formatCode>General</c:formatCode>
                <c:ptCount val="13"/>
                <c:pt idx="1">
                  <c:v>599</c:v>
                </c:pt>
                <c:pt idx="2">
                  <c:v>444</c:v>
                </c:pt>
                <c:pt idx="3">
                  <c:v>396</c:v>
                </c:pt>
                <c:pt idx="4">
                  <c:v>587</c:v>
                </c:pt>
                <c:pt idx="5">
                  <c:v>710</c:v>
                </c:pt>
                <c:pt idx="6">
                  <c:v>552</c:v>
                </c:pt>
                <c:pt idx="7">
                  <c:v>696</c:v>
                </c:pt>
                <c:pt idx="8">
                  <c:v>462</c:v>
                </c:pt>
                <c:pt idx="9">
                  <c:v>434</c:v>
                </c:pt>
                <c:pt idx="10">
                  <c:v>481</c:v>
                </c:pt>
                <c:pt idx="11">
                  <c:v>166</c:v>
                </c:pt>
                <c:pt idx="12">
                  <c:v>334</c:v>
                </c:pt>
              </c:numCache>
            </c:numRef>
          </c:val>
          <c:extLst>
            <c:ext xmlns:c16="http://schemas.microsoft.com/office/drawing/2014/chart" uri="{C3380CC4-5D6E-409C-BE32-E72D297353CC}">
              <c16:uniqueId val="{00000000-F72E-4CDF-90FF-FB44EEB58D5D}"/>
            </c:ext>
          </c:extLst>
        </c:ser>
        <c:ser>
          <c:idx val="1"/>
          <c:order val="1"/>
          <c:tx>
            <c:strRef>
              <c:f>label 1</c:f>
              <c:strCache>
                <c:ptCount val="1"/>
                <c:pt idx="0">
                  <c:v>7-12</c:v>
                </c:pt>
              </c:strCache>
            </c:strRef>
          </c:tx>
          <c:spPr>
            <a:solidFill>
              <a:srgbClr val="ED7D31"/>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strCache>
            </c:strRef>
          </c:cat>
          <c:val>
            <c:numRef>
              <c:f>1</c:f>
              <c:numCache>
                <c:formatCode>General</c:formatCode>
                <c:ptCount val="13"/>
                <c:pt idx="1">
                  <c:v>751</c:v>
                </c:pt>
                <c:pt idx="2">
                  <c:v>857</c:v>
                </c:pt>
                <c:pt idx="3">
                  <c:v>603</c:v>
                </c:pt>
                <c:pt idx="4">
                  <c:v>782</c:v>
                </c:pt>
                <c:pt idx="5">
                  <c:v>966</c:v>
                </c:pt>
                <c:pt idx="6">
                  <c:v>1003</c:v>
                </c:pt>
                <c:pt idx="7">
                  <c:v>1654</c:v>
                </c:pt>
                <c:pt idx="8">
                  <c:v>625</c:v>
                </c:pt>
                <c:pt idx="9">
                  <c:v>403</c:v>
                </c:pt>
                <c:pt idx="10">
                  <c:v>446</c:v>
                </c:pt>
                <c:pt idx="11">
                  <c:v>163</c:v>
                </c:pt>
                <c:pt idx="12">
                  <c:v>192</c:v>
                </c:pt>
              </c:numCache>
            </c:numRef>
          </c:val>
          <c:extLst>
            <c:ext xmlns:c16="http://schemas.microsoft.com/office/drawing/2014/chart" uri="{C3380CC4-5D6E-409C-BE32-E72D297353CC}">
              <c16:uniqueId val="{00000001-F72E-4CDF-90FF-FB44EEB58D5D}"/>
            </c:ext>
          </c:extLst>
        </c:ser>
        <c:ser>
          <c:idx val="2"/>
          <c:order val="2"/>
          <c:tx>
            <c:strRef>
              <c:f>label 2</c:f>
              <c:strCache>
                <c:ptCount val="1"/>
                <c:pt idx="0">
                  <c:v>13-20</c:v>
                </c:pt>
              </c:strCache>
            </c:strRef>
          </c:tx>
          <c:spPr>
            <a:solidFill>
              <a:srgbClr val="A5A5A5"/>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strCache>
            </c:strRef>
          </c:cat>
          <c:val>
            <c:numRef>
              <c:f>2</c:f>
              <c:numCache>
                <c:formatCode>General</c:formatCode>
                <c:ptCount val="13"/>
                <c:pt idx="1">
                  <c:v>1564</c:v>
                </c:pt>
                <c:pt idx="2">
                  <c:v>1292</c:v>
                </c:pt>
                <c:pt idx="3">
                  <c:v>995</c:v>
                </c:pt>
                <c:pt idx="4">
                  <c:v>1102</c:v>
                </c:pt>
                <c:pt idx="5">
                  <c:v>1087</c:v>
                </c:pt>
                <c:pt idx="6">
                  <c:v>1319</c:v>
                </c:pt>
                <c:pt idx="7">
                  <c:v>1224</c:v>
                </c:pt>
                <c:pt idx="8">
                  <c:v>1399</c:v>
                </c:pt>
                <c:pt idx="9">
                  <c:v>723</c:v>
                </c:pt>
                <c:pt idx="10">
                  <c:v>620</c:v>
                </c:pt>
                <c:pt idx="11">
                  <c:v>168</c:v>
                </c:pt>
                <c:pt idx="12">
                  <c:v>363</c:v>
                </c:pt>
              </c:numCache>
            </c:numRef>
          </c:val>
          <c:extLst>
            <c:ext xmlns:c16="http://schemas.microsoft.com/office/drawing/2014/chart" uri="{C3380CC4-5D6E-409C-BE32-E72D297353CC}">
              <c16:uniqueId val="{00000002-F72E-4CDF-90FF-FB44EEB58D5D}"/>
            </c:ext>
          </c:extLst>
        </c:ser>
        <c:ser>
          <c:idx val="3"/>
          <c:order val="3"/>
          <c:tx>
            <c:strRef>
              <c:f>label 3</c:f>
              <c:strCache>
                <c:ptCount val="1"/>
                <c:pt idx="0">
                  <c:v>21-60</c:v>
                </c:pt>
              </c:strCache>
            </c:strRef>
          </c:tx>
          <c:spPr>
            <a:solidFill>
              <a:srgbClr val="FFC000"/>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strCache>
            </c:strRef>
          </c:cat>
          <c:val>
            <c:numRef>
              <c:f>3</c:f>
              <c:numCache>
                <c:formatCode>General</c:formatCode>
                <c:ptCount val="13"/>
                <c:pt idx="1">
                  <c:v>5265</c:v>
                </c:pt>
                <c:pt idx="2">
                  <c:v>4722</c:v>
                </c:pt>
                <c:pt idx="3">
                  <c:v>4155</c:v>
                </c:pt>
                <c:pt idx="4">
                  <c:v>7099</c:v>
                </c:pt>
                <c:pt idx="5">
                  <c:v>5422</c:v>
                </c:pt>
                <c:pt idx="6">
                  <c:v>7121</c:v>
                </c:pt>
                <c:pt idx="7">
                  <c:v>7638</c:v>
                </c:pt>
                <c:pt idx="8">
                  <c:v>6837</c:v>
                </c:pt>
                <c:pt idx="9">
                  <c:v>4752</c:v>
                </c:pt>
                <c:pt idx="10">
                  <c:v>5968</c:v>
                </c:pt>
                <c:pt idx="11">
                  <c:v>1709</c:v>
                </c:pt>
                <c:pt idx="12">
                  <c:v>3592</c:v>
                </c:pt>
              </c:numCache>
            </c:numRef>
          </c:val>
          <c:extLst>
            <c:ext xmlns:c16="http://schemas.microsoft.com/office/drawing/2014/chart" uri="{C3380CC4-5D6E-409C-BE32-E72D297353CC}">
              <c16:uniqueId val="{00000003-F72E-4CDF-90FF-FB44EEB58D5D}"/>
            </c:ext>
          </c:extLst>
        </c:ser>
        <c:ser>
          <c:idx val="4"/>
          <c:order val="4"/>
          <c:tx>
            <c:strRef>
              <c:f>label 4</c:f>
              <c:strCache>
                <c:ptCount val="1"/>
                <c:pt idx="0">
                  <c:v>60+</c:v>
                </c:pt>
              </c:strCache>
            </c:strRef>
          </c:tx>
          <c:spPr>
            <a:solidFill>
              <a:srgbClr val="5B9BD5"/>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strCache>
            </c:strRef>
          </c:cat>
          <c:val>
            <c:numRef>
              <c:f>4</c:f>
              <c:numCache>
                <c:formatCode>General</c:formatCode>
                <c:ptCount val="13"/>
                <c:pt idx="1">
                  <c:v>1024</c:v>
                </c:pt>
                <c:pt idx="2">
                  <c:v>768</c:v>
                </c:pt>
                <c:pt idx="3">
                  <c:v>736</c:v>
                </c:pt>
                <c:pt idx="4">
                  <c:v>895</c:v>
                </c:pt>
                <c:pt idx="5">
                  <c:v>825</c:v>
                </c:pt>
                <c:pt idx="6">
                  <c:v>1080</c:v>
                </c:pt>
                <c:pt idx="7">
                  <c:v>1211</c:v>
                </c:pt>
                <c:pt idx="8">
                  <c:v>1241</c:v>
                </c:pt>
                <c:pt idx="9">
                  <c:v>908</c:v>
                </c:pt>
                <c:pt idx="10">
                  <c:v>777</c:v>
                </c:pt>
                <c:pt idx="11">
                  <c:v>225</c:v>
                </c:pt>
                <c:pt idx="12">
                  <c:v>397</c:v>
                </c:pt>
              </c:numCache>
            </c:numRef>
          </c:val>
          <c:extLst>
            <c:ext xmlns:c16="http://schemas.microsoft.com/office/drawing/2014/chart" uri="{C3380CC4-5D6E-409C-BE32-E72D297353CC}">
              <c16:uniqueId val="{00000004-F72E-4CDF-90FF-FB44EEB58D5D}"/>
            </c:ext>
          </c:extLst>
        </c:ser>
        <c:dLbls>
          <c:showLegendKey val="0"/>
          <c:showVal val="0"/>
          <c:showCatName val="0"/>
          <c:showSerName val="0"/>
          <c:showPercent val="0"/>
          <c:showBubbleSize val="0"/>
        </c:dLbls>
        <c:gapWidth val="219"/>
        <c:overlap val="-27"/>
        <c:axId val="14788638"/>
        <c:axId val="69883732"/>
      </c:barChart>
      <c:catAx>
        <c:axId val="14788638"/>
        <c:scaling>
          <c:orientation val="minMax"/>
        </c:scaling>
        <c:delete val="0"/>
        <c:axPos val="b"/>
        <c:title>
          <c:tx>
            <c:rich>
              <a:bodyPr rot="0"/>
              <a:lstStyle/>
              <a:p>
                <a:pPr>
                  <a:defRPr/>
                </a:pPr>
                <a:r>
                  <a:rPr lang="es-MX"/>
                  <a:t>Año</a:t>
                </a:r>
              </a:p>
            </c:rich>
          </c:tx>
          <c:overlay val="0"/>
          <c:spPr>
            <a:noFill/>
            <a:ln w="0">
              <a:noFill/>
            </a:ln>
          </c:spPr>
        </c:title>
        <c:numFmt formatCode="General" sourceLinked="0"/>
        <c:majorTickMark val="none"/>
        <c:minorTickMark val="none"/>
        <c:tickLblPos val="nextTo"/>
        <c:spPr>
          <a:ln w="9360">
            <a:solidFill>
              <a:srgbClr val="D9D9D9"/>
            </a:solidFill>
            <a:round/>
          </a:ln>
        </c:spPr>
        <c:crossAx val="69883732"/>
        <c:crosses val="autoZero"/>
        <c:auto val="1"/>
        <c:lblAlgn val="ctr"/>
        <c:lblOffset val="100"/>
        <c:noMultiLvlLbl val="0"/>
      </c:catAx>
      <c:valAx>
        <c:axId val="69883732"/>
        <c:scaling>
          <c:orientation val="minMax"/>
        </c:scaling>
        <c:delete val="0"/>
        <c:axPos val="l"/>
        <c:majorGridlines>
          <c:spPr>
            <a:ln w="9360">
              <a:solidFill>
                <a:srgbClr val="D9D9D9"/>
              </a:solidFill>
              <a:round/>
            </a:ln>
          </c:spPr>
        </c:majorGridlines>
        <c:title>
          <c:tx>
            <c:rich>
              <a:bodyPr rot="-5400000"/>
              <a:lstStyle/>
              <a:p>
                <a:pPr>
                  <a:defRPr/>
                </a:pPr>
                <a:r>
                  <a:rPr lang="es-MX"/>
                  <a:t>Visitantes</a:t>
                </a:r>
              </a:p>
            </c:rich>
          </c:tx>
          <c:overlay val="0"/>
          <c:spPr>
            <a:noFill/>
            <a:ln w="0">
              <a:noFill/>
            </a:ln>
          </c:spPr>
        </c:title>
        <c:numFmt formatCode="General" sourceLinked="0"/>
        <c:majorTickMark val="none"/>
        <c:minorTickMark val="none"/>
        <c:tickLblPos val="nextTo"/>
        <c:spPr>
          <a:ln w="6480">
            <a:noFill/>
          </a:ln>
        </c:spPr>
        <c:crossAx val="14788638"/>
        <c:crosses val="autoZero"/>
        <c:crossBetween val="between"/>
      </c:valAx>
      <c:spPr>
        <a:noFill/>
        <a:ln w="0">
          <a:noFill/>
        </a:ln>
      </c:spPr>
    </c:plotArea>
    <c:legend>
      <c:legendPos val="b"/>
      <c:overlay val="0"/>
      <c:spPr>
        <a:noFill/>
        <a:ln w="0">
          <a:noFill/>
        </a:ln>
      </c:spPr>
    </c:legend>
    <c:plotVisOnly val="1"/>
    <c:dispBlanksAs val="gap"/>
    <c:showDLblsOverMax val="1"/>
  </c:chart>
  <c:spPr>
    <a:noFill/>
    <a:ln w="9360">
      <a:noFill/>
      <a:round/>
    </a:ln>
  </c:spPr>
  <c:txPr>
    <a:bodyPr/>
    <a:lstStyle/>
    <a:p>
      <a:pPr>
        <a:defRPr>
          <a:solidFill>
            <a:sysClr val="windowText" lastClr="000000"/>
          </a:solidFill>
        </a:defRPr>
      </a:pPr>
      <a:endParaRPr lang="es-CR"/>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38E3E-3CD1-4608-ABDF-4A840772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6832</Words>
  <Characters>37576</Characters>
  <Application>Microsoft Office Word</Application>
  <DocSecurity>0</DocSecurity>
  <Lines>313</Lines>
  <Paragraphs>88</Paragraphs>
  <ScaleCrop>false</ScaleCrop>
  <Company/>
  <LinksUpToDate>false</LinksUpToDate>
  <CharactersWithSpaces>44320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2025-06-17T00:43:00Z</dcterms:created>
  <dcterms:modified xsi:type="dcterms:W3CDTF">2025-07-04T19:50:00Z</dcterms:modified>
</cp:coreProperties>
</file>